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C9" w:rsidRDefault="000A2AEF">
      <w:pPr>
        <w:spacing w:line="576" w:lineRule="exact"/>
        <w:jc w:val="center"/>
        <w:rPr>
          <w:rFonts w:ascii="方正小标宋简体" w:eastAsia="方正小标宋简体" w:hAnsi="方正粗黑宋简体" w:cs="仿宋"/>
          <w:sz w:val="44"/>
          <w:szCs w:val="44"/>
        </w:rPr>
      </w:pPr>
      <w:r>
        <w:rPr>
          <w:rFonts w:ascii="方正小标宋简体" w:eastAsia="方正小标宋简体" w:hAnsi="方正粗黑宋简体" w:cs="仿宋" w:hint="eastAsia"/>
          <w:sz w:val="44"/>
          <w:szCs w:val="44"/>
        </w:rPr>
        <w:t>汪清林区基层法院</w:t>
      </w:r>
    </w:p>
    <w:p w:rsidR="007A78C9" w:rsidRDefault="000A2AEF">
      <w:pPr>
        <w:spacing w:line="576" w:lineRule="exact"/>
        <w:jc w:val="center"/>
        <w:rPr>
          <w:rFonts w:ascii="方正小标宋简体" w:eastAsia="方正小标宋简体" w:hAnsi="方正粗黑宋简体" w:cs="仿宋"/>
          <w:sz w:val="44"/>
          <w:szCs w:val="44"/>
        </w:rPr>
      </w:pPr>
      <w:r>
        <w:rPr>
          <w:rFonts w:ascii="方正小标宋简体" w:eastAsia="方正小标宋简体" w:hAnsi="方正粗黑宋简体" w:cs="仿宋" w:hint="eastAsia"/>
          <w:sz w:val="44"/>
          <w:szCs w:val="44"/>
        </w:rPr>
        <w:t>全面推进诉源治理 建设多元化解机制</w:t>
      </w:r>
    </w:p>
    <w:p w:rsidR="007A78C9" w:rsidRDefault="007A78C9">
      <w:pPr>
        <w:spacing w:line="576" w:lineRule="exact"/>
        <w:rPr>
          <w:rFonts w:ascii="仿宋" w:eastAsia="仿宋" w:hAnsi="仿宋" w:cs="仿宋"/>
          <w:sz w:val="32"/>
          <w:szCs w:val="32"/>
        </w:rPr>
      </w:pPr>
    </w:p>
    <w:p w:rsidR="00D67DD7" w:rsidRDefault="00D67DD7">
      <w:pPr>
        <w:spacing w:line="576" w:lineRule="exact"/>
        <w:ind w:firstLine="645"/>
        <w:rPr>
          <w:rFonts w:ascii="Times New Roman" w:eastAsia="仿宋" w:hAnsi="Times New Roman" w:cs="Times New Roman" w:hint="eastAsia"/>
          <w:sz w:val="32"/>
          <w:szCs w:val="32"/>
        </w:rPr>
      </w:pPr>
      <w:r>
        <w:rPr>
          <w:rFonts w:ascii="Times New Roman" w:eastAsia="仿宋" w:hAnsi="Times New Roman" w:cs="Times New Roman" w:hint="eastAsia"/>
          <w:sz w:val="32"/>
          <w:szCs w:val="32"/>
        </w:rPr>
        <w:t>【关键词】</w:t>
      </w:r>
    </w:p>
    <w:p w:rsidR="00D67DD7" w:rsidRDefault="00D67DD7">
      <w:pPr>
        <w:spacing w:line="576" w:lineRule="exact"/>
        <w:ind w:firstLine="645"/>
        <w:rPr>
          <w:rFonts w:ascii="Times New Roman" w:eastAsia="仿宋" w:hAnsi="Times New Roman" w:cs="Times New Roman" w:hint="eastAsia"/>
          <w:sz w:val="32"/>
          <w:szCs w:val="32"/>
        </w:rPr>
      </w:pPr>
      <w:r>
        <w:rPr>
          <w:rFonts w:ascii="Times New Roman" w:eastAsia="仿宋" w:hAnsi="Times New Roman" w:cs="Times New Roman" w:hint="eastAsia"/>
          <w:sz w:val="32"/>
          <w:szCs w:val="32"/>
        </w:rPr>
        <w:t>诉源治理</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巡回审判</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司法责任制改革</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多元解纷机制</w:t>
      </w:r>
    </w:p>
    <w:p w:rsidR="00D67DD7" w:rsidRDefault="00D67DD7">
      <w:pPr>
        <w:spacing w:line="576" w:lineRule="exact"/>
        <w:ind w:firstLine="645"/>
        <w:rPr>
          <w:rFonts w:ascii="Times New Roman" w:eastAsia="仿宋" w:hAnsi="Times New Roman" w:cs="Times New Roman" w:hint="eastAsia"/>
          <w:sz w:val="32"/>
          <w:szCs w:val="32"/>
        </w:rPr>
      </w:pPr>
    </w:p>
    <w:p w:rsidR="00D67DD7" w:rsidRDefault="00D67DD7">
      <w:pPr>
        <w:spacing w:line="576" w:lineRule="exact"/>
        <w:ind w:firstLine="645"/>
        <w:rPr>
          <w:rFonts w:ascii="Times New Roman" w:eastAsia="仿宋" w:hAnsi="Times New Roman" w:cs="Times New Roman" w:hint="eastAsia"/>
          <w:sz w:val="32"/>
          <w:szCs w:val="32"/>
        </w:rPr>
      </w:pPr>
      <w:r>
        <w:rPr>
          <w:rFonts w:ascii="Times New Roman" w:eastAsia="仿宋" w:hAnsi="Times New Roman" w:cs="Times New Roman" w:hint="eastAsia"/>
          <w:sz w:val="32"/>
          <w:szCs w:val="32"/>
        </w:rPr>
        <w:t>【改革情况】</w:t>
      </w:r>
    </w:p>
    <w:p w:rsidR="007A78C9" w:rsidRDefault="004C57C5">
      <w:pPr>
        <w:spacing w:line="576" w:lineRule="exact"/>
        <w:ind w:firstLine="645"/>
        <w:rPr>
          <w:rFonts w:ascii="仿宋" w:eastAsia="仿宋" w:hAnsi="仿宋" w:cs="仿宋"/>
          <w:sz w:val="32"/>
          <w:szCs w:val="32"/>
        </w:rPr>
      </w:pPr>
      <w:r>
        <w:rPr>
          <w:rFonts w:ascii="Times New Roman" w:eastAsia="仿宋" w:hAnsi="Times New Roman" w:cs="Times New Roman" w:hint="eastAsia"/>
          <w:sz w:val="32"/>
          <w:szCs w:val="32"/>
        </w:rPr>
        <w:t>随着</w:t>
      </w:r>
      <w:r w:rsidR="000A2AEF">
        <w:rPr>
          <w:rFonts w:ascii="仿宋" w:eastAsia="仿宋" w:hAnsi="仿宋" w:cs="仿宋" w:hint="eastAsia"/>
          <w:sz w:val="32"/>
          <w:szCs w:val="32"/>
        </w:rPr>
        <w:t>全面深化司法体制改革的</w:t>
      </w:r>
      <w:r>
        <w:rPr>
          <w:rFonts w:ascii="仿宋" w:eastAsia="仿宋" w:hAnsi="仿宋" w:cs="仿宋" w:hint="eastAsia"/>
          <w:sz w:val="32"/>
          <w:szCs w:val="32"/>
        </w:rPr>
        <w:t>逐步深化</w:t>
      </w:r>
      <w:r w:rsidR="000A2AEF">
        <w:rPr>
          <w:rFonts w:ascii="仿宋" w:eastAsia="仿宋" w:hAnsi="仿宋" w:cs="仿宋" w:hint="eastAsia"/>
          <w:sz w:val="32"/>
          <w:szCs w:val="32"/>
        </w:rPr>
        <w:t>，</w:t>
      </w:r>
      <w:r>
        <w:rPr>
          <w:rFonts w:ascii="仿宋" w:eastAsia="仿宋" w:hAnsi="仿宋" w:cs="仿宋" w:hint="eastAsia"/>
          <w:sz w:val="32"/>
          <w:szCs w:val="32"/>
        </w:rPr>
        <w:t>近年来，</w:t>
      </w:r>
      <w:r w:rsidR="000A2AEF">
        <w:rPr>
          <w:rFonts w:ascii="仿宋" w:eastAsia="仿宋" w:hAnsi="仿宋" w:cs="仿宋" w:hint="eastAsia"/>
          <w:sz w:val="32"/>
          <w:szCs w:val="32"/>
        </w:rPr>
        <w:t>汪清林区基层法院坚持以习近平新时代中国特色社会主义思想为指导，深入贯彻落实党的十九大和十九届二中、三中、四中全会精神，认真学习贯彻习近平总书记关于政法领域全面深化改革的新理念新思想新战略，全面贯彻落实党中央、最高人民法院和省委改革部署，紧紧围绕确保“两个巩固”、强化“两个功能”、抓好“两个深化”、实现“两个拐点”、夺取“两个胜利”的目标任务，深化司法体制综合配套改革，加快推进审判体系和审判能力现代化</w:t>
      </w:r>
      <w:r w:rsidR="00D67DD7">
        <w:rPr>
          <w:rFonts w:ascii="仿宋" w:eastAsia="仿宋" w:hAnsi="仿宋" w:cs="仿宋" w:hint="eastAsia"/>
          <w:sz w:val="32"/>
          <w:szCs w:val="32"/>
        </w:rPr>
        <w:t>，在司法改革工作中取得了一系列成果。</w:t>
      </w:r>
    </w:p>
    <w:p w:rsidR="007A78C9" w:rsidRDefault="000A2AEF">
      <w:pPr>
        <w:adjustRightInd w:val="0"/>
        <w:snapToGrid w:val="0"/>
        <w:spacing w:line="576" w:lineRule="exact"/>
        <w:ind w:left="640"/>
        <w:rPr>
          <w:rFonts w:ascii="黑体" w:eastAsia="黑体" w:hAnsi="黑体" w:cs="仿宋"/>
          <w:sz w:val="32"/>
          <w:szCs w:val="32"/>
        </w:rPr>
      </w:pPr>
      <w:r>
        <w:rPr>
          <w:rFonts w:ascii="黑体" w:eastAsia="黑体" w:hAnsi="黑体" w:cs="仿宋" w:hint="eastAsia"/>
          <w:sz w:val="32"/>
          <w:szCs w:val="32"/>
        </w:rPr>
        <w:t>一、坚持创新发展新时代“枫桥经验”，因地制宜加大巡回审</w:t>
      </w:r>
    </w:p>
    <w:p w:rsidR="007A78C9" w:rsidRDefault="000A2AEF">
      <w:pPr>
        <w:adjustRightInd w:val="0"/>
        <w:snapToGrid w:val="0"/>
        <w:spacing w:line="576" w:lineRule="exact"/>
        <w:rPr>
          <w:rFonts w:ascii="黑体" w:eastAsia="黑体" w:hAnsi="黑体" w:cs="仿宋"/>
          <w:sz w:val="32"/>
          <w:szCs w:val="32"/>
        </w:rPr>
      </w:pPr>
      <w:r>
        <w:rPr>
          <w:rFonts w:ascii="黑体" w:eastAsia="黑体" w:hAnsi="黑体" w:cs="仿宋" w:hint="eastAsia"/>
          <w:sz w:val="32"/>
          <w:szCs w:val="32"/>
        </w:rPr>
        <w:t>判、就地办案力度，推进矛盾纠纷前端治理</w:t>
      </w:r>
    </w:p>
    <w:p w:rsidR="007A78C9" w:rsidRDefault="00600F59">
      <w:pPr>
        <w:adjustRightInd w:val="0"/>
        <w:snapToGrid w:val="0"/>
        <w:spacing w:line="576" w:lineRule="exact"/>
        <w:ind w:firstLineChars="200" w:firstLine="640"/>
        <w:rPr>
          <w:rFonts w:ascii="仿宋" w:eastAsia="仿宋" w:hAnsi="仿宋"/>
          <w:sz w:val="32"/>
          <w:szCs w:val="32"/>
        </w:rPr>
      </w:pPr>
      <w:r>
        <w:rPr>
          <w:rFonts w:ascii="仿宋" w:eastAsia="仿宋" w:hAnsi="仿宋" w:hint="eastAsia"/>
          <w:sz w:val="32"/>
          <w:szCs w:val="32"/>
        </w:rPr>
        <w:t>在辖区天桥岭林业局设立</w:t>
      </w:r>
      <w:r w:rsidR="000A2AEF">
        <w:rPr>
          <w:rFonts w:ascii="仿宋" w:eastAsia="仿宋" w:hAnsi="仿宋" w:hint="eastAsia"/>
          <w:sz w:val="32"/>
          <w:szCs w:val="32"/>
        </w:rPr>
        <w:t>巡回法庭</w:t>
      </w:r>
      <w:r w:rsidR="000A2AEF">
        <w:rPr>
          <w:rFonts w:ascii="Times New Roman" w:eastAsia="仿宋" w:hAnsi="Times New Roman" w:cs="Times New Roman"/>
          <w:sz w:val="32"/>
          <w:szCs w:val="32"/>
        </w:rPr>
        <w:t>1</w:t>
      </w:r>
      <w:r w:rsidR="000A2AEF">
        <w:rPr>
          <w:rFonts w:ascii="仿宋" w:eastAsia="仿宋" w:hAnsi="仿宋" w:hint="eastAsia"/>
          <w:sz w:val="32"/>
          <w:szCs w:val="32"/>
        </w:rPr>
        <w:t>个</w:t>
      </w:r>
      <w:r>
        <w:rPr>
          <w:rFonts w:ascii="仿宋" w:eastAsia="仿宋" w:hAnsi="仿宋" w:hint="eastAsia"/>
          <w:sz w:val="32"/>
          <w:szCs w:val="32"/>
        </w:rPr>
        <w:t>，同时设立了</w:t>
      </w:r>
      <w:r w:rsidR="000A2AEF">
        <w:rPr>
          <w:rFonts w:ascii="仿宋" w:eastAsia="仿宋" w:hAnsi="仿宋" w:hint="eastAsia"/>
          <w:sz w:val="32"/>
          <w:szCs w:val="32"/>
        </w:rPr>
        <w:t>巡回审判点</w:t>
      </w:r>
      <w:r w:rsidR="000A2AEF">
        <w:rPr>
          <w:rFonts w:ascii="Times New Roman" w:eastAsia="仿宋" w:hAnsi="Times New Roman" w:cs="Times New Roman"/>
          <w:sz w:val="32"/>
          <w:szCs w:val="32"/>
        </w:rPr>
        <w:t>4</w:t>
      </w:r>
      <w:r w:rsidR="000A2AEF">
        <w:rPr>
          <w:rFonts w:ascii="仿宋" w:eastAsia="仿宋" w:hAnsi="仿宋" w:hint="eastAsia"/>
          <w:sz w:val="32"/>
          <w:szCs w:val="32"/>
        </w:rPr>
        <w:t>个，分别设置在天桥岭、大兴沟、张家店、金沟岭。我院于天桥岭</w:t>
      </w:r>
      <w:r w:rsidR="000A2AEF">
        <w:rPr>
          <w:rFonts w:ascii="仿宋" w:eastAsia="仿宋" w:hAnsi="仿宋"/>
          <w:sz w:val="32"/>
          <w:szCs w:val="32"/>
        </w:rPr>
        <w:t>巡回法庭安排专人驻点办公，在</w:t>
      </w:r>
      <w:r>
        <w:rPr>
          <w:rFonts w:ascii="仿宋" w:eastAsia="仿宋" w:hAnsi="仿宋" w:hint="eastAsia"/>
          <w:sz w:val="32"/>
          <w:szCs w:val="32"/>
        </w:rPr>
        <w:t>纠纷</w:t>
      </w:r>
      <w:r w:rsidR="000A2AEF">
        <w:rPr>
          <w:rFonts w:ascii="仿宋" w:eastAsia="仿宋" w:hAnsi="仿宋"/>
          <w:sz w:val="32"/>
          <w:szCs w:val="32"/>
        </w:rPr>
        <w:t>处理的第一时</w:t>
      </w:r>
      <w:r w:rsidR="000A2AEF">
        <w:rPr>
          <w:rFonts w:ascii="仿宋" w:eastAsia="仿宋" w:hAnsi="仿宋"/>
          <w:kern w:val="0"/>
          <w:sz w:val="32"/>
          <w:szCs w:val="32"/>
        </w:rPr>
        <w:t>间提供法律咨询、诉前调解、司法确认、履行监督等一系列服务。</w:t>
      </w:r>
      <w:r w:rsidR="000A2AEF">
        <w:rPr>
          <w:rFonts w:ascii="仿宋" w:eastAsia="仿宋" w:hAnsi="仿宋" w:hint="eastAsia"/>
          <w:kern w:val="0"/>
          <w:sz w:val="32"/>
          <w:szCs w:val="32"/>
        </w:rPr>
        <w:t>其</w:t>
      </w:r>
      <w:r w:rsidR="000A2AEF">
        <w:rPr>
          <w:rFonts w:ascii="仿宋" w:eastAsia="仿宋" w:hAnsi="仿宋" w:hint="eastAsia"/>
          <w:kern w:val="0"/>
          <w:sz w:val="32"/>
          <w:szCs w:val="32"/>
        </w:rPr>
        <w:lastRenderedPageBreak/>
        <w:t>余</w:t>
      </w:r>
      <w:r w:rsidR="000A2AEF">
        <w:rPr>
          <w:rFonts w:ascii="Times New Roman" w:eastAsia="仿宋" w:hAnsi="Times New Roman" w:cs="Times New Roman"/>
          <w:kern w:val="0"/>
          <w:sz w:val="32"/>
          <w:szCs w:val="32"/>
        </w:rPr>
        <w:t>4</w:t>
      </w:r>
      <w:r w:rsidR="000A2AEF">
        <w:rPr>
          <w:rFonts w:ascii="仿宋" w:eastAsia="仿宋" w:hAnsi="仿宋" w:hint="eastAsia"/>
          <w:kern w:val="0"/>
          <w:sz w:val="32"/>
          <w:szCs w:val="32"/>
        </w:rPr>
        <w:t>处巡回审判点有案件需审理时，法院干警长途跋涉、深入到村屯中就地办案，就地调解，</w:t>
      </w:r>
      <w:r w:rsidR="000A2AEF">
        <w:rPr>
          <w:rFonts w:ascii="仿宋" w:eastAsia="仿宋" w:hAnsi="仿宋"/>
          <w:sz w:val="32"/>
          <w:szCs w:val="32"/>
        </w:rPr>
        <w:t>让案件当事人不出乡、不出村，甚至不出家门，就可以得到及时有效的审判服务</w:t>
      </w:r>
      <w:r w:rsidR="000A2AEF">
        <w:rPr>
          <w:rFonts w:ascii="仿宋" w:eastAsia="仿宋" w:hAnsi="仿宋" w:hint="eastAsia"/>
          <w:sz w:val="32"/>
          <w:szCs w:val="32"/>
        </w:rPr>
        <w:t>，做到</w:t>
      </w:r>
      <w:r w:rsidR="000A2AEF">
        <w:rPr>
          <w:rFonts w:ascii="仿宋" w:eastAsia="仿宋" w:hAnsi="仿宋"/>
          <w:sz w:val="32"/>
          <w:szCs w:val="32"/>
        </w:rPr>
        <w:t>诉讼服务在一线、调查研究赴一线、巡回审判到一线</w:t>
      </w:r>
      <w:r w:rsidR="000A2AEF">
        <w:rPr>
          <w:rFonts w:ascii="仿宋" w:eastAsia="仿宋" w:hAnsi="仿宋" w:hint="eastAsia"/>
          <w:sz w:val="32"/>
          <w:szCs w:val="32"/>
        </w:rPr>
        <w:t>，</w:t>
      </w:r>
      <w:r w:rsidR="000A2AEF">
        <w:rPr>
          <w:rFonts w:ascii="仿宋" w:eastAsia="仿宋" w:hAnsi="仿宋"/>
          <w:sz w:val="32"/>
          <w:szCs w:val="32"/>
        </w:rPr>
        <w:t>实现群众参与乡村司法的网络全覆盖，让群众依法有序参与和监督司法，扩大司法民主，增强司法亲和力</w:t>
      </w:r>
      <w:r w:rsidR="000A2AEF">
        <w:rPr>
          <w:rFonts w:ascii="仿宋" w:eastAsia="仿宋" w:hAnsi="仿宋" w:hint="eastAsia"/>
          <w:sz w:val="32"/>
          <w:szCs w:val="32"/>
        </w:rPr>
        <w:t>。另外，</w:t>
      </w:r>
      <w:r w:rsidR="000A2AEF">
        <w:rPr>
          <w:rFonts w:ascii="仿宋" w:eastAsia="仿宋" w:hAnsi="仿宋" w:hint="eastAsia"/>
          <w:color w:val="000000" w:themeColor="text1"/>
          <w:sz w:val="32"/>
          <w:szCs w:val="32"/>
        </w:rPr>
        <w:t>因林区法院工作的特殊性，我院除在巡回法庭及各审判点进行审判、调解工作外，也会与辖区内林业局、森林公安局等相关部门定期进行保护野生动植物等普法宣传活动，均收效良好。</w:t>
      </w:r>
    </w:p>
    <w:p w:rsidR="007A78C9" w:rsidRDefault="000A2AEF">
      <w:pPr>
        <w:adjustRightInd w:val="0"/>
        <w:snapToGrid w:val="0"/>
        <w:spacing w:line="576"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最高院“带着国徽去审判”超级大V法院行活动中，我院于天桥岭巡回法庭、金沟岭巡回审判点审理的几起案件，</w:t>
      </w:r>
      <w:r>
        <w:rPr>
          <w:rFonts w:ascii="仿宋" w:eastAsia="仿宋" w:hAnsi="仿宋" w:hint="eastAsia"/>
          <w:color w:val="000000" w:themeColor="text1"/>
          <w:sz w:val="32"/>
          <w:szCs w:val="32"/>
          <w:shd w:val="clear" w:color="auto" w:fill="FFFFFF"/>
        </w:rPr>
        <w:t>使大V们深刻感受到了林区法院的办案特色和法官为保护林区的绿水青山履职尽责的真心。</w:t>
      </w:r>
      <w:r>
        <w:rPr>
          <w:rFonts w:ascii="仿宋" w:eastAsia="仿宋" w:hAnsi="仿宋" w:hint="eastAsia"/>
          <w:color w:val="000000" w:themeColor="text1"/>
          <w:sz w:val="32"/>
          <w:szCs w:val="32"/>
        </w:rPr>
        <w:t>吉林广播电视台《好好学习》栏目组</w:t>
      </w:r>
      <w:r w:rsidR="00600F59">
        <w:rPr>
          <w:rFonts w:ascii="仿宋" w:eastAsia="仿宋" w:hAnsi="仿宋" w:hint="eastAsia"/>
          <w:color w:val="000000" w:themeColor="text1"/>
          <w:sz w:val="32"/>
          <w:szCs w:val="32"/>
        </w:rPr>
        <w:t>也</w:t>
      </w:r>
      <w:r>
        <w:rPr>
          <w:rFonts w:ascii="仿宋" w:eastAsia="仿宋" w:hAnsi="仿宋" w:hint="eastAsia"/>
          <w:color w:val="000000" w:themeColor="text1"/>
          <w:sz w:val="32"/>
          <w:szCs w:val="32"/>
        </w:rPr>
        <w:t>播出我院天桥岭巡回法庭审理的一起劳务损害责任纠纷诉前调解案件，已在“学习强国”平台上线，反响强烈。</w:t>
      </w:r>
    </w:p>
    <w:p w:rsidR="007A78C9" w:rsidRDefault="000A2AEF">
      <w:pPr>
        <w:adjustRightInd w:val="0"/>
        <w:snapToGrid w:val="0"/>
        <w:spacing w:line="576" w:lineRule="exact"/>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我院将进一步加大巡回审判、就地办案力度，结合“普法六走进”等活动推进执法普法工作，努力从源头上减少矛盾纠纷。同时优化巡回法庭人力资源配置，强化经费装备保障，有重点、有计划、分步骤地提高巡回法庭办公场所的建设投入，提升装备配备水平，为其开展工作提供必要的物质保障。</w:t>
      </w:r>
    </w:p>
    <w:p w:rsidR="007A78C9" w:rsidRDefault="000A2AEF">
      <w:pPr>
        <w:pStyle w:val="a6"/>
        <w:numPr>
          <w:ilvl w:val="0"/>
          <w:numId w:val="1"/>
        </w:numPr>
        <w:adjustRightInd w:val="0"/>
        <w:snapToGrid w:val="0"/>
        <w:spacing w:line="576" w:lineRule="exact"/>
        <w:ind w:firstLineChars="0"/>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推进行政争议源头治理，建立行政争议化解中心，加强</w:t>
      </w:r>
    </w:p>
    <w:p w:rsidR="007A78C9" w:rsidRDefault="000A2AEF">
      <w:pPr>
        <w:adjustRightInd w:val="0"/>
        <w:snapToGrid w:val="0"/>
        <w:spacing w:line="576" w:lineRule="exact"/>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行政争议调解工作机制建设</w:t>
      </w:r>
    </w:p>
    <w:p w:rsidR="007A78C9" w:rsidRDefault="00600F59">
      <w:pPr>
        <w:adjustRightInd w:val="0"/>
        <w:snapToGrid w:val="0"/>
        <w:spacing w:line="576" w:lineRule="exact"/>
        <w:ind w:firstLineChars="200" w:firstLine="640"/>
        <w:rPr>
          <w:rFonts w:ascii="仿宋" w:eastAsia="仿宋" w:hAnsi="仿宋"/>
          <w:color w:val="000000"/>
          <w:sz w:val="32"/>
          <w:szCs w:val="32"/>
          <w:shd w:val="clear" w:color="auto" w:fill="FFFFFF"/>
        </w:rPr>
      </w:pPr>
      <w:r>
        <w:rPr>
          <w:rFonts w:ascii="Times New Roman" w:eastAsia="仿宋" w:hAnsi="Times New Roman" w:cs="Times New Roman" w:hint="eastAsia"/>
          <w:color w:val="000000"/>
          <w:sz w:val="32"/>
          <w:szCs w:val="32"/>
          <w:shd w:val="clear" w:color="auto" w:fill="FFFFFF"/>
        </w:rPr>
        <w:lastRenderedPageBreak/>
        <w:t>通过</w:t>
      </w:r>
      <w:r w:rsidR="000A2AEF">
        <w:rPr>
          <w:rFonts w:ascii="仿宋" w:eastAsia="仿宋" w:hAnsi="仿宋" w:hint="eastAsia"/>
          <w:color w:val="000000"/>
          <w:sz w:val="32"/>
          <w:szCs w:val="32"/>
          <w:shd w:val="clear" w:color="auto" w:fill="FFFFFF"/>
        </w:rPr>
        <w:t>召开府院联动“行政争议协调化解”联席会议，邀请汪清县司法局、汪清林业局、汪清森林公安局等</w:t>
      </w:r>
      <w:r w:rsidR="000A2AEF">
        <w:rPr>
          <w:rFonts w:ascii="Times New Roman" w:eastAsia="仿宋" w:hAnsi="Times New Roman" w:cs="Times New Roman"/>
          <w:color w:val="000000"/>
          <w:sz w:val="32"/>
          <w:szCs w:val="32"/>
          <w:shd w:val="clear" w:color="auto" w:fill="FFFFFF"/>
        </w:rPr>
        <w:t>7</w:t>
      </w:r>
      <w:r w:rsidR="000A2AEF">
        <w:rPr>
          <w:rFonts w:ascii="仿宋" w:eastAsia="仿宋" w:hAnsi="仿宋" w:hint="eastAsia"/>
          <w:color w:val="000000"/>
          <w:sz w:val="32"/>
          <w:szCs w:val="32"/>
          <w:shd w:val="clear" w:color="auto" w:fill="FFFFFF"/>
        </w:rPr>
        <w:t>家相关单位，按照吉林省人民政府建立的“府院联动”工作机制的要求，挂牌成立“行政争议协调化解中心”。一是全力服务汪清林区发展大局。通过化解中心平台，精准把握林区经济社会发展全局，联合各成员单位主动承接行政纠纷，高站位、高标准、高质量推进行政争议化解。二是坚持以人民为中心的发展理念。完善诉前和解与人民调解、行政调解的有效衔接，在人民法院、行政机关和人民群众之间架起“互信”桥梁，更好地维护群众合法权益，支持行政机关依法行政。三是实现司法与行政的良性互动。加强对行政争议规律特点等问题的分析研判，主动与行政机关通报会商，共同研究提升依法行政水平，助力推进法治政府建设。我院将切实发挥府院联动机制积极推进行政争议源头化解、多元化解、实质化解，依托行政争议化解中心将纠纷解决在早、解决在小，创新社会治理，大力推进法治政府建设。</w:t>
      </w:r>
    </w:p>
    <w:p w:rsidR="007A78C9" w:rsidRDefault="000A2AEF">
      <w:pPr>
        <w:pStyle w:val="a6"/>
        <w:numPr>
          <w:ilvl w:val="0"/>
          <w:numId w:val="1"/>
        </w:numPr>
        <w:adjustRightInd w:val="0"/>
        <w:snapToGrid w:val="0"/>
        <w:spacing w:line="576" w:lineRule="exact"/>
        <w:ind w:firstLineChars="0"/>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围绕巩固提升审判执行质效，深入推进司法责任制综合</w:t>
      </w:r>
    </w:p>
    <w:p w:rsidR="007A78C9" w:rsidRDefault="000A2AEF">
      <w:pPr>
        <w:adjustRightInd w:val="0"/>
        <w:snapToGrid w:val="0"/>
        <w:spacing w:line="576" w:lineRule="exact"/>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配套改革</w:t>
      </w:r>
    </w:p>
    <w:p w:rsidR="007A78C9" w:rsidRDefault="00600F59" w:rsidP="004C57C5">
      <w:pPr>
        <w:adjustRightInd w:val="0"/>
        <w:snapToGrid w:val="0"/>
        <w:spacing w:line="576" w:lineRule="exact"/>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在加强诉源治理的哦给你时，不断提升审判执行质效。</w:t>
      </w:r>
      <w:r w:rsidR="000A2AEF">
        <w:rPr>
          <w:rFonts w:ascii="仿宋" w:eastAsia="仿宋" w:hAnsi="仿宋" w:hint="eastAsia"/>
          <w:color w:val="000000"/>
          <w:sz w:val="32"/>
          <w:szCs w:val="32"/>
          <w:shd w:val="clear" w:color="auto" w:fill="FFFFFF"/>
        </w:rPr>
        <w:t>完善</w:t>
      </w:r>
      <w:r>
        <w:rPr>
          <w:rFonts w:ascii="仿宋" w:eastAsia="仿宋" w:hAnsi="仿宋" w:hint="eastAsia"/>
          <w:color w:val="000000"/>
          <w:sz w:val="32"/>
          <w:szCs w:val="32"/>
          <w:shd w:val="clear" w:color="auto" w:fill="FFFFFF"/>
        </w:rPr>
        <w:t>了</w:t>
      </w:r>
      <w:r w:rsidR="000A2AEF">
        <w:rPr>
          <w:rFonts w:ascii="仿宋" w:eastAsia="仿宋" w:hAnsi="仿宋" w:hint="eastAsia"/>
          <w:color w:val="000000"/>
          <w:sz w:val="32"/>
          <w:szCs w:val="32"/>
          <w:shd w:val="clear" w:color="auto" w:fill="FFFFFF"/>
        </w:rPr>
        <w:t>审判人员权责清单，细化独任庭、合议庭的审判权力边界和院庭长、审判委员会的监督管理职责，构建权责明晰、权责统一、监管有效的审判权力运行机制；严格落实《院庭长审判监督管理职责的办法》，细化“四类案件”具体情形和监管程序，夯实院庭</w:t>
      </w:r>
      <w:r w:rsidR="000A2AEF">
        <w:rPr>
          <w:rFonts w:ascii="仿宋" w:eastAsia="仿宋" w:hAnsi="仿宋" w:hint="eastAsia"/>
          <w:color w:val="000000"/>
          <w:sz w:val="32"/>
          <w:szCs w:val="32"/>
          <w:shd w:val="clear" w:color="auto" w:fill="FFFFFF"/>
        </w:rPr>
        <w:lastRenderedPageBreak/>
        <w:t>长审判监督管理主体责任；坚持司法公开工作机制，拓展公开范围、健全公开形式，畅通公开渠道，深入推进裁判文书、庭审活动、执行工作、诉讼服务、司法改革信息等信息公开的规范化、标准化、信息化建设，健全完善开放、动态、透明、便民的阳光司法制度体系。</w:t>
      </w:r>
    </w:p>
    <w:p w:rsidR="007A78C9" w:rsidRDefault="000A2AEF">
      <w:pPr>
        <w:adjustRightInd w:val="0"/>
        <w:snapToGrid w:val="0"/>
        <w:spacing w:line="576" w:lineRule="exact"/>
        <w:ind w:firstLineChars="200" w:firstLine="640"/>
        <w:rPr>
          <w:rFonts w:ascii="仿宋" w:eastAsia="仿宋" w:hAnsi="仿宋"/>
          <w:color w:val="000000" w:themeColor="text1"/>
          <w:sz w:val="32"/>
          <w:szCs w:val="32"/>
        </w:rPr>
      </w:pPr>
      <w:r>
        <w:rPr>
          <w:rFonts w:ascii="仿宋" w:eastAsia="仿宋" w:hAnsi="仿宋" w:cs="仿宋" w:hint="eastAsia"/>
          <w:sz w:val="32"/>
          <w:szCs w:val="32"/>
        </w:rPr>
        <w:t>我院将继续坚持优化协同高效导向，在成效上注重巩固提升、在配套上注重系统集成、在措施上注重协同高效；突出制度建设这条主线，结合“加强管理年”活动，巩固深化已经成熟的经验做法并推动上升为制度；紧盯狠抓落实这个关键，强化主体责任，确保各项措施落地见效，为确保实现用两到三年吉林法院各项工作跻身全国法院前列目标提供强大改革动力,推动吉林全面振兴全方位振兴提供有力司法保障。</w:t>
      </w:r>
    </w:p>
    <w:sectPr w:rsidR="007A78C9" w:rsidSect="007A78C9">
      <w:footerReference w:type="default" r:id="rId9"/>
      <w:pgSz w:w="11906" w:h="16838"/>
      <w:pgMar w:top="2268" w:right="1418" w:bottom="170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A97" w:rsidRDefault="00161A97" w:rsidP="007A78C9">
      <w:r>
        <w:separator/>
      </w:r>
    </w:p>
  </w:endnote>
  <w:endnote w:type="continuationSeparator" w:id="1">
    <w:p w:rsidR="00161A97" w:rsidRDefault="00161A97" w:rsidP="007A7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3000509000000000000"/>
    <w:charset w:val="86"/>
    <w:family w:val="script"/>
    <w:pitch w:val="fixed"/>
    <w:sig w:usb0="00000001" w:usb1="080E0000" w:usb2="00000010" w:usb3="00000000" w:csb0="00040000" w:csb1="00000000"/>
  </w:font>
  <w:font w:name="方正粗黑宋简体">
    <w:altName w:val="宋体"/>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3793"/>
      <w:docPartObj>
        <w:docPartGallery w:val="AutoText"/>
      </w:docPartObj>
    </w:sdtPr>
    <w:sdtContent>
      <w:p w:rsidR="007A78C9" w:rsidRDefault="000A2AEF">
        <w:pPr>
          <w:pStyle w:val="a3"/>
          <w:jc w:val="center"/>
        </w:pPr>
        <w:r>
          <w:rPr>
            <w:rFonts w:ascii="Times New Roman" w:hAnsi="Times New Roman" w:cs="Times New Roman"/>
          </w:rPr>
          <w:t>-</w:t>
        </w:r>
        <w:r w:rsidR="00CB353D">
          <w:rPr>
            <w:rFonts w:ascii="Times New Roman" w:hAnsi="Times New Roman" w:cs="Times New Roman"/>
          </w:rPr>
          <w:fldChar w:fldCharType="begin"/>
        </w:r>
        <w:r>
          <w:rPr>
            <w:rFonts w:ascii="Times New Roman" w:hAnsi="Times New Roman" w:cs="Times New Roman"/>
          </w:rPr>
          <w:instrText xml:space="preserve"> PAGE   \* MERGEFORMAT </w:instrText>
        </w:r>
        <w:r w:rsidR="00CB353D">
          <w:rPr>
            <w:rFonts w:ascii="Times New Roman" w:hAnsi="Times New Roman" w:cs="Times New Roman"/>
          </w:rPr>
          <w:fldChar w:fldCharType="separate"/>
        </w:r>
        <w:r w:rsidR="00600F59" w:rsidRPr="00600F59">
          <w:rPr>
            <w:rFonts w:ascii="Times New Roman" w:hAnsi="Times New Roman" w:cs="Times New Roman"/>
            <w:noProof/>
            <w:lang w:val="zh-CN"/>
          </w:rPr>
          <w:t>1</w:t>
        </w:r>
        <w:r w:rsidR="00CB353D">
          <w:rPr>
            <w:rFonts w:ascii="Times New Roman" w:hAnsi="Times New Roman" w:cs="Times New Roman"/>
          </w:rPr>
          <w:fldChar w:fldCharType="end"/>
        </w:r>
        <w:r>
          <w:rPr>
            <w:rFonts w:ascii="Times New Roman" w:hAnsi="Times New Roman" w:cs="Times New Roman"/>
          </w:rPr>
          <w:t>-</w:t>
        </w:r>
      </w:p>
    </w:sdtContent>
  </w:sdt>
  <w:p w:rsidR="007A78C9" w:rsidRDefault="007A78C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A97" w:rsidRDefault="00161A97" w:rsidP="007A78C9">
      <w:r>
        <w:separator/>
      </w:r>
    </w:p>
  </w:footnote>
  <w:footnote w:type="continuationSeparator" w:id="1">
    <w:p w:rsidR="00161A97" w:rsidRDefault="00161A97" w:rsidP="007A78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778B7"/>
    <w:multiLevelType w:val="multilevel"/>
    <w:tmpl w:val="0F7778B7"/>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282B"/>
    <w:rsid w:val="00006C88"/>
    <w:rsid w:val="00064862"/>
    <w:rsid w:val="000879DA"/>
    <w:rsid w:val="000A2AEF"/>
    <w:rsid w:val="000E282B"/>
    <w:rsid w:val="00161A97"/>
    <w:rsid w:val="00183D50"/>
    <w:rsid w:val="0019040E"/>
    <w:rsid w:val="001A4F19"/>
    <w:rsid w:val="00250E29"/>
    <w:rsid w:val="002544A4"/>
    <w:rsid w:val="002C4AB8"/>
    <w:rsid w:val="003A13AE"/>
    <w:rsid w:val="00412006"/>
    <w:rsid w:val="00445564"/>
    <w:rsid w:val="004B7E85"/>
    <w:rsid w:val="004C57C5"/>
    <w:rsid w:val="004F66C3"/>
    <w:rsid w:val="00547045"/>
    <w:rsid w:val="005B3E91"/>
    <w:rsid w:val="005C03F4"/>
    <w:rsid w:val="00600F59"/>
    <w:rsid w:val="006023F6"/>
    <w:rsid w:val="00621397"/>
    <w:rsid w:val="006847BA"/>
    <w:rsid w:val="006C2D89"/>
    <w:rsid w:val="006D354B"/>
    <w:rsid w:val="006E3E60"/>
    <w:rsid w:val="00770A63"/>
    <w:rsid w:val="007A78C9"/>
    <w:rsid w:val="00810EFC"/>
    <w:rsid w:val="00813BE1"/>
    <w:rsid w:val="00814447"/>
    <w:rsid w:val="0083649A"/>
    <w:rsid w:val="0084607D"/>
    <w:rsid w:val="008A47C7"/>
    <w:rsid w:val="008F094B"/>
    <w:rsid w:val="008F3327"/>
    <w:rsid w:val="008F59BC"/>
    <w:rsid w:val="00900DB6"/>
    <w:rsid w:val="009B0288"/>
    <w:rsid w:val="009D4917"/>
    <w:rsid w:val="009D531E"/>
    <w:rsid w:val="009F05CD"/>
    <w:rsid w:val="00AA1488"/>
    <w:rsid w:val="00BC0343"/>
    <w:rsid w:val="00CB353D"/>
    <w:rsid w:val="00D67DD7"/>
    <w:rsid w:val="00D87EC9"/>
    <w:rsid w:val="00DB31CB"/>
    <w:rsid w:val="00DD3E90"/>
    <w:rsid w:val="00E640E4"/>
    <w:rsid w:val="00EC15DD"/>
    <w:rsid w:val="00EC508E"/>
    <w:rsid w:val="00ED06AE"/>
    <w:rsid w:val="131E7B3E"/>
    <w:rsid w:val="5E2136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8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A78C9"/>
    <w:pPr>
      <w:tabs>
        <w:tab w:val="center" w:pos="4153"/>
        <w:tab w:val="right" w:pos="8306"/>
      </w:tabs>
      <w:snapToGrid w:val="0"/>
      <w:jc w:val="left"/>
    </w:pPr>
    <w:rPr>
      <w:sz w:val="18"/>
      <w:szCs w:val="18"/>
    </w:rPr>
  </w:style>
  <w:style w:type="paragraph" w:styleId="a4">
    <w:name w:val="header"/>
    <w:basedOn w:val="a"/>
    <w:link w:val="Char0"/>
    <w:rsid w:val="007A78C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7A78C9"/>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4"/>
    <w:qFormat/>
    <w:rsid w:val="007A78C9"/>
    <w:rPr>
      <w:kern w:val="2"/>
      <w:sz w:val="18"/>
      <w:szCs w:val="18"/>
    </w:rPr>
  </w:style>
  <w:style w:type="character" w:customStyle="1" w:styleId="Char">
    <w:name w:val="页脚 Char"/>
    <w:basedOn w:val="a0"/>
    <w:link w:val="a3"/>
    <w:uiPriority w:val="99"/>
    <w:qFormat/>
    <w:rsid w:val="007A78C9"/>
    <w:rPr>
      <w:kern w:val="2"/>
      <w:sz w:val="18"/>
      <w:szCs w:val="18"/>
    </w:rPr>
  </w:style>
  <w:style w:type="paragraph" w:styleId="a6">
    <w:name w:val="List Paragraph"/>
    <w:basedOn w:val="a"/>
    <w:uiPriority w:val="99"/>
    <w:unhideWhenUsed/>
    <w:qFormat/>
    <w:rsid w:val="007A78C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A0D9397-B11C-468B-8AE4-A001ADE8AB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284</Words>
  <Characters>1624</Characters>
  <Application>Microsoft Office Word</Application>
  <DocSecurity>0</DocSecurity>
  <Lines>13</Lines>
  <Paragraphs>3</Paragraphs>
  <ScaleCrop>false</ScaleCrop>
  <Company>微软中国</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邱新良</cp:lastModifiedBy>
  <cp:revision>2</cp:revision>
  <cp:lastPrinted>2020-11-13T05:55:00Z</cp:lastPrinted>
  <dcterms:created xsi:type="dcterms:W3CDTF">2022-09-21T07:42:00Z</dcterms:created>
  <dcterms:modified xsi:type="dcterms:W3CDTF">2022-09-21T07:42:00Z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