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B3" w:rsidRDefault="006078B3" w:rsidP="006078B3">
      <w:pPr>
        <w:ind w:firstLineChars="200" w:firstLine="883"/>
        <w:rPr>
          <w:rFonts w:ascii="仿宋" w:eastAsia="仿宋" w:hAnsi="仿宋"/>
          <w:b/>
          <w:sz w:val="44"/>
          <w:szCs w:val="44"/>
        </w:rPr>
      </w:pPr>
      <w:r>
        <w:rPr>
          <w:rFonts w:ascii="仿宋" w:eastAsia="仿宋" w:hAnsi="仿宋" w:hint="eastAsia"/>
          <w:b/>
          <w:sz w:val="44"/>
          <w:szCs w:val="44"/>
        </w:rPr>
        <w:t>开展执法办案工作调研情况汇报</w:t>
      </w:r>
    </w:p>
    <w:p w:rsidR="006078B3" w:rsidRDefault="006078B3" w:rsidP="006078B3">
      <w:pPr>
        <w:rPr>
          <w:rFonts w:ascii="仿宋" w:eastAsia="仿宋" w:hAnsi="仿宋" w:hint="eastAsia"/>
          <w:sz w:val="32"/>
          <w:szCs w:val="32"/>
        </w:rPr>
      </w:pPr>
    </w:p>
    <w:p w:rsidR="006078B3" w:rsidRDefault="006078B3" w:rsidP="006078B3">
      <w:pPr>
        <w:ind w:firstLine="645"/>
        <w:rPr>
          <w:rFonts w:ascii="仿宋" w:eastAsia="仿宋" w:hAnsi="仿宋" w:hint="eastAsia"/>
          <w:sz w:val="32"/>
          <w:szCs w:val="32"/>
        </w:rPr>
      </w:pPr>
      <w:r>
        <w:rPr>
          <w:rFonts w:ascii="仿宋" w:eastAsia="仿宋" w:hAnsi="仿宋" w:hint="eastAsia"/>
          <w:sz w:val="32"/>
          <w:szCs w:val="32"/>
        </w:rPr>
        <w:t>为进一步落实全省法院执法办案工作，汪清林区法院在新收案件数量继续保持大幅增长态势下，积极主动应对，统筹兼顾，多措并举，加大办案力度，强化审判管理，审判执行工作平稳有序开展，运行态势良好。现对执法办案工作中的重点问题组织调研，调研工作主要围绕以下重点工作进行：</w:t>
      </w:r>
    </w:p>
    <w:p w:rsidR="006078B3" w:rsidRDefault="006078B3" w:rsidP="006078B3">
      <w:pPr>
        <w:ind w:firstLine="645"/>
        <w:rPr>
          <w:rFonts w:ascii="仿宋" w:eastAsia="仿宋" w:hAnsi="仿宋" w:hint="eastAsia"/>
          <w:sz w:val="32"/>
          <w:szCs w:val="32"/>
        </w:rPr>
      </w:pPr>
      <w:r>
        <w:rPr>
          <w:rFonts w:ascii="仿宋" w:eastAsia="仿宋" w:hAnsi="仿宋" w:hint="eastAsia"/>
          <w:sz w:val="32"/>
          <w:szCs w:val="32"/>
        </w:rPr>
        <w:t>一、实现“等得起”的司法公正——重视案件审结工作</w:t>
      </w:r>
    </w:p>
    <w:p w:rsidR="006078B3" w:rsidRDefault="006078B3" w:rsidP="006078B3">
      <w:pPr>
        <w:ind w:firstLine="645"/>
        <w:rPr>
          <w:rFonts w:ascii="仿宋" w:eastAsia="仿宋" w:hAnsi="仿宋" w:hint="eastAsia"/>
          <w:sz w:val="32"/>
          <w:szCs w:val="32"/>
        </w:rPr>
      </w:pPr>
      <w:r>
        <w:rPr>
          <w:rFonts w:ascii="仿宋" w:eastAsia="仿宋" w:hAnsi="仿宋" w:hint="eastAsia"/>
          <w:sz w:val="32"/>
          <w:szCs w:val="32"/>
        </w:rPr>
        <w:t>1、深抓执法办案工作，提升案件结案率。1—3季度结案率达到81.37%，一季度结案59件，二季度结案84件，三季度结案93件，案件平稳有序均衡结案。</w:t>
      </w:r>
    </w:p>
    <w:p w:rsidR="006078B3" w:rsidRDefault="006078B3" w:rsidP="006078B3">
      <w:pPr>
        <w:ind w:firstLine="645"/>
        <w:rPr>
          <w:rFonts w:ascii="仿宋" w:eastAsia="仿宋" w:hAnsi="仿宋" w:hint="eastAsia"/>
          <w:sz w:val="32"/>
          <w:szCs w:val="32"/>
        </w:rPr>
      </w:pPr>
      <w:r>
        <w:rPr>
          <w:rFonts w:ascii="仿宋" w:eastAsia="仿宋" w:hAnsi="仿宋" w:hint="eastAsia"/>
          <w:sz w:val="32"/>
          <w:szCs w:val="32"/>
        </w:rPr>
        <w:t>2、案件审理周期。1—3季度汪清林区基层法院案件审理周期短，结案效率高。刑事一审结案周期平均值为26.3天，民事一审结案周期平均36.5天，民事其它一审结案周期平均为6.2天，民事平均结案周期值为35.4天，行政一审平均结案周期值为57天，执行执结案周期值为42 天。以图表为例，综合分析1—3季度各类案件审理周期值情况：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04"/>
        <w:gridCol w:w="1704"/>
        <w:gridCol w:w="1705"/>
        <w:gridCol w:w="1705"/>
      </w:tblGrid>
      <w:tr w:rsidR="006078B3" w:rsidRPr="00052792" w:rsidTr="001E0E0E">
        <w:tc>
          <w:tcPr>
            <w:tcW w:w="1704" w:type="dxa"/>
            <w:tcBorders>
              <w:top w:val="single" w:sz="4" w:space="0" w:color="auto"/>
              <w:left w:val="single" w:sz="4" w:space="0" w:color="auto"/>
              <w:bottom w:val="single" w:sz="4" w:space="0" w:color="auto"/>
              <w:right w:val="single" w:sz="4" w:space="0" w:color="auto"/>
              <w:tl2br w:val="single" w:sz="4" w:space="0" w:color="auto"/>
            </w:tcBorders>
          </w:tcPr>
          <w:p w:rsidR="006078B3" w:rsidRPr="00052792" w:rsidRDefault="006078B3" w:rsidP="001E0E0E">
            <w:pPr>
              <w:rPr>
                <w:rFonts w:ascii="仿宋" w:eastAsia="仿宋" w:hAnsi="仿宋"/>
                <w:sz w:val="28"/>
                <w:szCs w:val="28"/>
              </w:rPr>
            </w:pPr>
            <w:r w:rsidRPr="00052792">
              <w:rPr>
                <w:rFonts w:ascii="仿宋" w:eastAsia="仿宋" w:hAnsi="仿宋" w:hint="eastAsia"/>
                <w:sz w:val="28"/>
                <w:szCs w:val="28"/>
              </w:rPr>
              <w:t>平均  类型</w:t>
            </w:r>
          </w:p>
        </w:tc>
        <w:tc>
          <w:tcPr>
            <w:tcW w:w="1704" w:type="dxa"/>
            <w:tcBorders>
              <w:top w:val="single" w:sz="4" w:space="0" w:color="auto"/>
              <w:left w:val="single" w:sz="4" w:space="0" w:color="auto"/>
              <w:bottom w:val="single" w:sz="4" w:space="0" w:color="auto"/>
              <w:right w:val="single" w:sz="4" w:space="0" w:color="auto"/>
            </w:tcBorders>
            <w:vAlign w:val="center"/>
          </w:tcPr>
          <w:p w:rsidR="006078B3" w:rsidRPr="00052792" w:rsidRDefault="006078B3" w:rsidP="001E0E0E">
            <w:pPr>
              <w:jc w:val="center"/>
              <w:rPr>
                <w:rFonts w:ascii="仿宋" w:eastAsia="仿宋" w:hAnsi="仿宋"/>
                <w:sz w:val="32"/>
                <w:szCs w:val="32"/>
              </w:rPr>
            </w:pPr>
            <w:r w:rsidRPr="00052792">
              <w:rPr>
                <w:rFonts w:ascii="仿宋" w:eastAsia="仿宋" w:hAnsi="仿宋" w:hint="eastAsia"/>
                <w:sz w:val="32"/>
                <w:szCs w:val="32"/>
              </w:rPr>
              <w:t>刑事</w:t>
            </w:r>
          </w:p>
        </w:tc>
        <w:tc>
          <w:tcPr>
            <w:tcW w:w="1704" w:type="dxa"/>
            <w:tcBorders>
              <w:top w:val="single" w:sz="4" w:space="0" w:color="auto"/>
              <w:left w:val="single" w:sz="4" w:space="0" w:color="auto"/>
              <w:bottom w:val="single" w:sz="4" w:space="0" w:color="auto"/>
              <w:right w:val="single" w:sz="4" w:space="0" w:color="auto"/>
            </w:tcBorders>
            <w:vAlign w:val="center"/>
          </w:tcPr>
          <w:p w:rsidR="006078B3" w:rsidRPr="00052792" w:rsidRDefault="006078B3" w:rsidP="001E0E0E">
            <w:pPr>
              <w:jc w:val="center"/>
              <w:rPr>
                <w:rFonts w:ascii="仿宋" w:eastAsia="仿宋" w:hAnsi="仿宋"/>
                <w:sz w:val="32"/>
                <w:szCs w:val="32"/>
              </w:rPr>
            </w:pPr>
            <w:r w:rsidRPr="00052792">
              <w:rPr>
                <w:rFonts w:ascii="仿宋" w:eastAsia="仿宋" w:hAnsi="仿宋" w:hint="eastAsia"/>
                <w:sz w:val="32"/>
                <w:szCs w:val="32"/>
              </w:rPr>
              <w:t>民事</w:t>
            </w:r>
          </w:p>
        </w:tc>
        <w:tc>
          <w:tcPr>
            <w:tcW w:w="1705" w:type="dxa"/>
            <w:tcBorders>
              <w:top w:val="single" w:sz="4" w:space="0" w:color="auto"/>
              <w:left w:val="single" w:sz="4" w:space="0" w:color="auto"/>
              <w:bottom w:val="single" w:sz="4" w:space="0" w:color="auto"/>
              <w:right w:val="single" w:sz="4" w:space="0" w:color="auto"/>
            </w:tcBorders>
            <w:vAlign w:val="center"/>
          </w:tcPr>
          <w:p w:rsidR="006078B3" w:rsidRPr="00052792" w:rsidRDefault="006078B3" w:rsidP="001E0E0E">
            <w:pPr>
              <w:jc w:val="center"/>
              <w:rPr>
                <w:rFonts w:ascii="仿宋" w:eastAsia="仿宋" w:hAnsi="仿宋"/>
                <w:sz w:val="32"/>
                <w:szCs w:val="32"/>
              </w:rPr>
            </w:pPr>
            <w:r w:rsidRPr="00052792">
              <w:rPr>
                <w:rFonts w:ascii="仿宋" w:eastAsia="仿宋" w:hAnsi="仿宋" w:hint="eastAsia"/>
                <w:sz w:val="32"/>
                <w:szCs w:val="32"/>
              </w:rPr>
              <w:t>行政</w:t>
            </w:r>
          </w:p>
        </w:tc>
        <w:tc>
          <w:tcPr>
            <w:tcW w:w="1705" w:type="dxa"/>
            <w:tcBorders>
              <w:top w:val="single" w:sz="4" w:space="0" w:color="auto"/>
              <w:left w:val="single" w:sz="4" w:space="0" w:color="auto"/>
              <w:bottom w:val="single" w:sz="4" w:space="0" w:color="auto"/>
              <w:right w:val="single" w:sz="4" w:space="0" w:color="auto"/>
            </w:tcBorders>
            <w:vAlign w:val="center"/>
          </w:tcPr>
          <w:p w:rsidR="006078B3" w:rsidRPr="00052792" w:rsidRDefault="006078B3" w:rsidP="001E0E0E">
            <w:pPr>
              <w:jc w:val="center"/>
              <w:rPr>
                <w:rFonts w:ascii="仿宋" w:eastAsia="仿宋" w:hAnsi="仿宋"/>
                <w:sz w:val="32"/>
                <w:szCs w:val="32"/>
              </w:rPr>
            </w:pPr>
            <w:r w:rsidRPr="00052792">
              <w:rPr>
                <w:rFonts w:ascii="仿宋" w:eastAsia="仿宋" w:hAnsi="仿宋" w:hint="eastAsia"/>
                <w:sz w:val="32"/>
                <w:szCs w:val="32"/>
              </w:rPr>
              <w:t>执行</w:t>
            </w:r>
          </w:p>
        </w:tc>
      </w:tr>
      <w:tr w:rsidR="006078B3" w:rsidRPr="00052792" w:rsidTr="001E0E0E">
        <w:tc>
          <w:tcPr>
            <w:tcW w:w="1704" w:type="dxa"/>
            <w:tcBorders>
              <w:top w:val="single" w:sz="4" w:space="0" w:color="auto"/>
              <w:left w:val="single" w:sz="4" w:space="0" w:color="auto"/>
              <w:bottom w:val="single" w:sz="4" w:space="0" w:color="auto"/>
              <w:right w:val="single" w:sz="4" w:space="0" w:color="auto"/>
            </w:tcBorders>
            <w:vAlign w:val="center"/>
          </w:tcPr>
          <w:p w:rsidR="006078B3" w:rsidRPr="00052792" w:rsidRDefault="006078B3" w:rsidP="001E0E0E">
            <w:pPr>
              <w:jc w:val="center"/>
              <w:rPr>
                <w:rFonts w:ascii="仿宋" w:eastAsia="仿宋" w:hAnsi="仿宋"/>
                <w:sz w:val="32"/>
                <w:szCs w:val="32"/>
              </w:rPr>
            </w:pPr>
            <w:r w:rsidRPr="00052792">
              <w:rPr>
                <w:rFonts w:ascii="仿宋" w:eastAsia="仿宋" w:hAnsi="仿宋" w:hint="eastAsia"/>
                <w:sz w:val="32"/>
                <w:szCs w:val="32"/>
              </w:rPr>
              <w:t>第一季度</w:t>
            </w:r>
          </w:p>
        </w:tc>
        <w:tc>
          <w:tcPr>
            <w:tcW w:w="1704" w:type="dxa"/>
            <w:tcBorders>
              <w:top w:val="single" w:sz="4" w:space="0" w:color="auto"/>
              <w:left w:val="single" w:sz="4" w:space="0" w:color="auto"/>
              <w:bottom w:val="single" w:sz="4" w:space="0" w:color="auto"/>
              <w:right w:val="single" w:sz="4" w:space="0" w:color="auto"/>
            </w:tcBorders>
            <w:vAlign w:val="center"/>
          </w:tcPr>
          <w:p w:rsidR="006078B3" w:rsidRPr="00052792" w:rsidRDefault="006078B3" w:rsidP="001E0E0E">
            <w:pPr>
              <w:jc w:val="center"/>
              <w:rPr>
                <w:rFonts w:ascii="仿宋" w:eastAsia="仿宋" w:hAnsi="仿宋"/>
                <w:sz w:val="32"/>
                <w:szCs w:val="32"/>
              </w:rPr>
            </w:pPr>
            <w:r w:rsidRPr="00052792">
              <w:rPr>
                <w:rFonts w:ascii="仿宋" w:eastAsia="仿宋" w:hAnsi="仿宋" w:hint="eastAsia"/>
                <w:sz w:val="32"/>
                <w:szCs w:val="32"/>
              </w:rPr>
              <w:t>20.6天</w:t>
            </w:r>
          </w:p>
        </w:tc>
        <w:tc>
          <w:tcPr>
            <w:tcW w:w="1704" w:type="dxa"/>
            <w:tcBorders>
              <w:top w:val="single" w:sz="4" w:space="0" w:color="auto"/>
              <w:left w:val="single" w:sz="4" w:space="0" w:color="auto"/>
              <w:bottom w:val="single" w:sz="4" w:space="0" w:color="auto"/>
              <w:right w:val="single" w:sz="4" w:space="0" w:color="auto"/>
            </w:tcBorders>
            <w:vAlign w:val="center"/>
          </w:tcPr>
          <w:p w:rsidR="006078B3" w:rsidRPr="00052792" w:rsidRDefault="006078B3" w:rsidP="001E0E0E">
            <w:pPr>
              <w:jc w:val="center"/>
              <w:rPr>
                <w:rFonts w:ascii="仿宋" w:eastAsia="仿宋" w:hAnsi="仿宋"/>
                <w:sz w:val="32"/>
                <w:szCs w:val="32"/>
              </w:rPr>
            </w:pPr>
            <w:r w:rsidRPr="00052792">
              <w:rPr>
                <w:rFonts w:ascii="仿宋" w:eastAsia="仿宋" w:hAnsi="仿宋" w:hint="eastAsia"/>
                <w:sz w:val="32"/>
                <w:szCs w:val="32"/>
              </w:rPr>
              <w:t>32.4天</w:t>
            </w:r>
          </w:p>
        </w:tc>
        <w:tc>
          <w:tcPr>
            <w:tcW w:w="1705" w:type="dxa"/>
            <w:tcBorders>
              <w:top w:val="single" w:sz="4" w:space="0" w:color="auto"/>
              <w:left w:val="single" w:sz="4" w:space="0" w:color="auto"/>
              <w:bottom w:val="single" w:sz="4" w:space="0" w:color="auto"/>
              <w:right w:val="single" w:sz="4" w:space="0" w:color="auto"/>
            </w:tcBorders>
            <w:vAlign w:val="center"/>
          </w:tcPr>
          <w:p w:rsidR="006078B3" w:rsidRPr="00052792" w:rsidRDefault="006078B3" w:rsidP="001E0E0E">
            <w:pPr>
              <w:jc w:val="center"/>
              <w:rPr>
                <w:rFonts w:ascii="仿宋" w:eastAsia="仿宋" w:hAnsi="仿宋"/>
                <w:sz w:val="32"/>
                <w:szCs w:val="32"/>
              </w:rPr>
            </w:pPr>
          </w:p>
        </w:tc>
        <w:tc>
          <w:tcPr>
            <w:tcW w:w="1705" w:type="dxa"/>
            <w:tcBorders>
              <w:top w:val="single" w:sz="4" w:space="0" w:color="auto"/>
              <w:left w:val="single" w:sz="4" w:space="0" w:color="auto"/>
              <w:bottom w:val="single" w:sz="4" w:space="0" w:color="auto"/>
              <w:right w:val="single" w:sz="4" w:space="0" w:color="auto"/>
            </w:tcBorders>
            <w:vAlign w:val="center"/>
          </w:tcPr>
          <w:p w:rsidR="006078B3" w:rsidRPr="00052792" w:rsidRDefault="006078B3" w:rsidP="001E0E0E">
            <w:pPr>
              <w:jc w:val="center"/>
              <w:rPr>
                <w:rFonts w:ascii="仿宋" w:eastAsia="仿宋" w:hAnsi="仿宋"/>
                <w:sz w:val="32"/>
                <w:szCs w:val="32"/>
              </w:rPr>
            </w:pPr>
            <w:r w:rsidRPr="00052792">
              <w:rPr>
                <w:rFonts w:ascii="仿宋" w:eastAsia="仿宋" w:hAnsi="仿宋" w:hint="eastAsia"/>
                <w:sz w:val="32"/>
                <w:szCs w:val="32"/>
              </w:rPr>
              <w:t>90天</w:t>
            </w:r>
          </w:p>
        </w:tc>
      </w:tr>
      <w:tr w:rsidR="006078B3" w:rsidRPr="00052792" w:rsidTr="001E0E0E">
        <w:tc>
          <w:tcPr>
            <w:tcW w:w="1704" w:type="dxa"/>
            <w:tcBorders>
              <w:top w:val="single" w:sz="4" w:space="0" w:color="auto"/>
              <w:left w:val="single" w:sz="4" w:space="0" w:color="auto"/>
              <w:bottom w:val="single" w:sz="4" w:space="0" w:color="auto"/>
              <w:right w:val="single" w:sz="4" w:space="0" w:color="auto"/>
            </w:tcBorders>
            <w:vAlign w:val="center"/>
          </w:tcPr>
          <w:p w:rsidR="006078B3" w:rsidRPr="00052792" w:rsidRDefault="006078B3" w:rsidP="001E0E0E">
            <w:pPr>
              <w:jc w:val="center"/>
              <w:rPr>
                <w:rFonts w:ascii="仿宋" w:eastAsia="仿宋" w:hAnsi="仿宋"/>
                <w:sz w:val="32"/>
                <w:szCs w:val="32"/>
              </w:rPr>
            </w:pPr>
            <w:r w:rsidRPr="00052792">
              <w:rPr>
                <w:rFonts w:ascii="仿宋" w:eastAsia="仿宋" w:hAnsi="仿宋" w:hint="eastAsia"/>
                <w:sz w:val="32"/>
                <w:szCs w:val="32"/>
              </w:rPr>
              <w:t>第二季度</w:t>
            </w:r>
          </w:p>
        </w:tc>
        <w:tc>
          <w:tcPr>
            <w:tcW w:w="1704" w:type="dxa"/>
            <w:tcBorders>
              <w:top w:val="single" w:sz="4" w:space="0" w:color="auto"/>
              <w:left w:val="single" w:sz="4" w:space="0" w:color="auto"/>
              <w:bottom w:val="single" w:sz="4" w:space="0" w:color="auto"/>
              <w:right w:val="single" w:sz="4" w:space="0" w:color="auto"/>
            </w:tcBorders>
            <w:vAlign w:val="center"/>
          </w:tcPr>
          <w:p w:rsidR="006078B3" w:rsidRPr="00052792" w:rsidRDefault="006078B3" w:rsidP="001E0E0E">
            <w:pPr>
              <w:jc w:val="center"/>
              <w:rPr>
                <w:rFonts w:ascii="仿宋" w:eastAsia="仿宋" w:hAnsi="仿宋"/>
                <w:sz w:val="32"/>
                <w:szCs w:val="32"/>
              </w:rPr>
            </w:pPr>
            <w:r w:rsidRPr="00052792">
              <w:rPr>
                <w:rFonts w:ascii="仿宋" w:eastAsia="仿宋" w:hAnsi="仿宋" w:hint="eastAsia"/>
                <w:sz w:val="32"/>
                <w:szCs w:val="32"/>
              </w:rPr>
              <w:t>32.9天</w:t>
            </w:r>
          </w:p>
        </w:tc>
        <w:tc>
          <w:tcPr>
            <w:tcW w:w="1704" w:type="dxa"/>
            <w:tcBorders>
              <w:top w:val="single" w:sz="4" w:space="0" w:color="auto"/>
              <w:left w:val="single" w:sz="4" w:space="0" w:color="auto"/>
              <w:bottom w:val="single" w:sz="4" w:space="0" w:color="auto"/>
              <w:right w:val="single" w:sz="4" w:space="0" w:color="auto"/>
            </w:tcBorders>
            <w:vAlign w:val="center"/>
          </w:tcPr>
          <w:p w:rsidR="006078B3" w:rsidRPr="00052792" w:rsidRDefault="006078B3" w:rsidP="001E0E0E">
            <w:pPr>
              <w:jc w:val="center"/>
              <w:rPr>
                <w:rFonts w:ascii="仿宋" w:eastAsia="仿宋" w:hAnsi="仿宋"/>
                <w:sz w:val="32"/>
                <w:szCs w:val="32"/>
              </w:rPr>
            </w:pPr>
            <w:r w:rsidRPr="00052792">
              <w:rPr>
                <w:rFonts w:ascii="仿宋" w:eastAsia="仿宋" w:hAnsi="仿宋" w:hint="eastAsia"/>
                <w:sz w:val="32"/>
                <w:szCs w:val="32"/>
              </w:rPr>
              <w:t>30.9天</w:t>
            </w:r>
          </w:p>
        </w:tc>
        <w:tc>
          <w:tcPr>
            <w:tcW w:w="1705" w:type="dxa"/>
            <w:tcBorders>
              <w:top w:val="single" w:sz="4" w:space="0" w:color="auto"/>
              <w:left w:val="single" w:sz="4" w:space="0" w:color="auto"/>
              <w:bottom w:val="single" w:sz="4" w:space="0" w:color="auto"/>
              <w:right w:val="single" w:sz="4" w:space="0" w:color="auto"/>
            </w:tcBorders>
            <w:vAlign w:val="center"/>
          </w:tcPr>
          <w:p w:rsidR="006078B3" w:rsidRPr="00052792" w:rsidRDefault="006078B3" w:rsidP="001E0E0E">
            <w:pPr>
              <w:jc w:val="center"/>
              <w:rPr>
                <w:rFonts w:ascii="仿宋" w:eastAsia="仿宋" w:hAnsi="仿宋"/>
                <w:sz w:val="32"/>
                <w:szCs w:val="32"/>
              </w:rPr>
            </w:pPr>
            <w:r w:rsidRPr="00052792">
              <w:rPr>
                <w:rFonts w:ascii="仿宋" w:eastAsia="仿宋" w:hAnsi="仿宋" w:hint="eastAsia"/>
                <w:sz w:val="32"/>
                <w:szCs w:val="32"/>
              </w:rPr>
              <w:t>57天</w:t>
            </w:r>
          </w:p>
        </w:tc>
        <w:tc>
          <w:tcPr>
            <w:tcW w:w="1705" w:type="dxa"/>
            <w:tcBorders>
              <w:top w:val="single" w:sz="4" w:space="0" w:color="auto"/>
              <w:left w:val="single" w:sz="4" w:space="0" w:color="auto"/>
              <w:bottom w:val="single" w:sz="4" w:space="0" w:color="auto"/>
              <w:right w:val="single" w:sz="4" w:space="0" w:color="auto"/>
            </w:tcBorders>
            <w:vAlign w:val="center"/>
          </w:tcPr>
          <w:p w:rsidR="006078B3" w:rsidRPr="00052792" w:rsidRDefault="006078B3" w:rsidP="001E0E0E">
            <w:pPr>
              <w:jc w:val="center"/>
              <w:rPr>
                <w:rFonts w:ascii="仿宋" w:eastAsia="仿宋" w:hAnsi="仿宋"/>
                <w:sz w:val="32"/>
                <w:szCs w:val="32"/>
              </w:rPr>
            </w:pPr>
            <w:r w:rsidRPr="00052792">
              <w:rPr>
                <w:rFonts w:ascii="仿宋" w:eastAsia="仿宋" w:hAnsi="仿宋" w:hint="eastAsia"/>
                <w:sz w:val="32"/>
                <w:szCs w:val="32"/>
              </w:rPr>
              <w:t>18天</w:t>
            </w:r>
          </w:p>
        </w:tc>
      </w:tr>
      <w:tr w:rsidR="006078B3" w:rsidRPr="00052792" w:rsidTr="001E0E0E">
        <w:trPr>
          <w:trHeight w:val="390"/>
        </w:trPr>
        <w:tc>
          <w:tcPr>
            <w:tcW w:w="1704" w:type="dxa"/>
            <w:tcBorders>
              <w:top w:val="single" w:sz="4" w:space="0" w:color="auto"/>
              <w:left w:val="single" w:sz="4" w:space="0" w:color="auto"/>
              <w:bottom w:val="single" w:sz="4" w:space="0" w:color="auto"/>
              <w:right w:val="single" w:sz="4" w:space="0" w:color="auto"/>
            </w:tcBorders>
            <w:vAlign w:val="center"/>
          </w:tcPr>
          <w:p w:rsidR="006078B3" w:rsidRPr="00052792" w:rsidRDefault="006078B3" w:rsidP="001E0E0E">
            <w:pPr>
              <w:jc w:val="center"/>
              <w:rPr>
                <w:rFonts w:ascii="仿宋" w:eastAsia="仿宋" w:hAnsi="仿宋"/>
                <w:sz w:val="32"/>
                <w:szCs w:val="32"/>
              </w:rPr>
            </w:pPr>
            <w:r w:rsidRPr="00052792">
              <w:rPr>
                <w:rFonts w:ascii="仿宋" w:eastAsia="仿宋" w:hAnsi="仿宋" w:hint="eastAsia"/>
                <w:sz w:val="32"/>
                <w:szCs w:val="32"/>
              </w:rPr>
              <w:t>第三季度</w:t>
            </w:r>
          </w:p>
        </w:tc>
        <w:tc>
          <w:tcPr>
            <w:tcW w:w="1704" w:type="dxa"/>
            <w:tcBorders>
              <w:top w:val="single" w:sz="4" w:space="0" w:color="auto"/>
              <w:left w:val="single" w:sz="4" w:space="0" w:color="auto"/>
              <w:bottom w:val="single" w:sz="4" w:space="0" w:color="auto"/>
              <w:right w:val="single" w:sz="4" w:space="0" w:color="auto"/>
            </w:tcBorders>
            <w:vAlign w:val="center"/>
          </w:tcPr>
          <w:p w:rsidR="006078B3" w:rsidRPr="00052792" w:rsidRDefault="006078B3" w:rsidP="001E0E0E">
            <w:pPr>
              <w:jc w:val="center"/>
              <w:rPr>
                <w:rFonts w:ascii="仿宋" w:eastAsia="仿宋" w:hAnsi="仿宋"/>
                <w:sz w:val="32"/>
                <w:szCs w:val="32"/>
              </w:rPr>
            </w:pPr>
            <w:r w:rsidRPr="00052792">
              <w:rPr>
                <w:rFonts w:ascii="仿宋" w:eastAsia="仿宋" w:hAnsi="仿宋" w:hint="eastAsia"/>
                <w:sz w:val="32"/>
                <w:szCs w:val="32"/>
              </w:rPr>
              <w:t>51.7天</w:t>
            </w:r>
          </w:p>
        </w:tc>
        <w:tc>
          <w:tcPr>
            <w:tcW w:w="1704" w:type="dxa"/>
            <w:tcBorders>
              <w:top w:val="single" w:sz="4" w:space="0" w:color="auto"/>
              <w:left w:val="single" w:sz="4" w:space="0" w:color="auto"/>
              <w:bottom w:val="single" w:sz="4" w:space="0" w:color="auto"/>
              <w:right w:val="single" w:sz="4" w:space="0" w:color="auto"/>
            </w:tcBorders>
            <w:vAlign w:val="center"/>
          </w:tcPr>
          <w:p w:rsidR="006078B3" w:rsidRPr="00052792" w:rsidRDefault="006078B3" w:rsidP="001E0E0E">
            <w:pPr>
              <w:jc w:val="center"/>
              <w:rPr>
                <w:rFonts w:ascii="仿宋" w:eastAsia="仿宋" w:hAnsi="仿宋"/>
                <w:sz w:val="32"/>
                <w:szCs w:val="32"/>
              </w:rPr>
            </w:pPr>
            <w:r w:rsidRPr="00052792">
              <w:rPr>
                <w:rFonts w:ascii="仿宋" w:eastAsia="仿宋" w:hAnsi="仿宋" w:hint="eastAsia"/>
                <w:sz w:val="32"/>
                <w:szCs w:val="32"/>
              </w:rPr>
              <w:t>46.2天</w:t>
            </w:r>
          </w:p>
        </w:tc>
        <w:tc>
          <w:tcPr>
            <w:tcW w:w="1705" w:type="dxa"/>
            <w:tcBorders>
              <w:top w:val="single" w:sz="4" w:space="0" w:color="auto"/>
              <w:left w:val="single" w:sz="4" w:space="0" w:color="auto"/>
              <w:bottom w:val="single" w:sz="4" w:space="0" w:color="auto"/>
              <w:right w:val="single" w:sz="4" w:space="0" w:color="auto"/>
            </w:tcBorders>
            <w:vAlign w:val="center"/>
          </w:tcPr>
          <w:p w:rsidR="006078B3" w:rsidRPr="00052792" w:rsidRDefault="006078B3" w:rsidP="001E0E0E">
            <w:pPr>
              <w:jc w:val="center"/>
              <w:rPr>
                <w:rFonts w:ascii="仿宋" w:eastAsia="仿宋" w:hAnsi="仿宋"/>
                <w:sz w:val="32"/>
                <w:szCs w:val="32"/>
              </w:rPr>
            </w:pPr>
          </w:p>
        </w:tc>
        <w:tc>
          <w:tcPr>
            <w:tcW w:w="1705" w:type="dxa"/>
            <w:tcBorders>
              <w:top w:val="single" w:sz="4" w:space="0" w:color="auto"/>
              <w:left w:val="single" w:sz="4" w:space="0" w:color="auto"/>
              <w:bottom w:val="single" w:sz="4" w:space="0" w:color="auto"/>
              <w:right w:val="single" w:sz="4" w:space="0" w:color="auto"/>
            </w:tcBorders>
            <w:vAlign w:val="center"/>
          </w:tcPr>
          <w:p w:rsidR="006078B3" w:rsidRPr="00052792" w:rsidRDefault="006078B3" w:rsidP="001E0E0E">
            <w:pPr>
              <w:jc w:val="center"/>
              <w:rPr>
                <w:rFonts w:ascii="仿宋" w:eastAsia="仿宋" w:hAnsi="仿宋"/>
                <w:sz w:val="32"/>
                <w:szCs w:val="32"/>
              </w:rPr>
            </w:pPr>
            <w:r w:rsidRPr="00052792">
              <w:rPr>
                <w:rFonts w:ascii="仿宋" w:eastAsia="仿宋" w:hAnsi="仿宋" w:hint="eastAsia"/>
                <w:sz w:val="32"/>
                <w:szCs w:val="32"/>
              </w:rPr>
              <w:t>2.4天</w:t>
            </w:r>
          </w:p>
        </w:tc>
      </w:tr>
    </w:tbl>
    <w:p w:rsidR="006078B3" w:rsidRDefault="006078B3" w:rsidP="006078B3">
      <w:pPr>
        <w:ind w:firstLineChars="200" w:firstLine="640"/>
        <w:rPr>
          <w:rFonts w:ascii="仿宋" w:eastAsia="仿宋" w:hAnsi="仿宋" w:hint="eastAsia"/>
          <w:sz w:val="32"/>
          <w:szCs w:val="32"/>
        </w:rPr>
      </w:pPr>
      <w:r>
        <w:rPr>
          <w:rFonts w:ascii="仿宋" w:eastAsia="仿宋" w:hAnsi="仿宋" w:hint="eastAsia"/>
          <w:sz w:val="32"/>
          <w:szCs w:val="32"/>
        </w:rPr>
        <w:t>从上列图表可以看出1—2季度刑事、民事、行政案件</w:t>
      </w:r>
      <w:r>
        <w:rPr>
          <w:rFonts w:ascii="仿宋" w:eastAsia="仿宋" w:hAnsi="仿宋" w:hint="eastAsia"/>
          <w:sz w:val="32"/>
          <w:szCs w:val="32"/>
        </w:rPr>
        <w:lastRenderedPageBreak/>
        <w:t>审理周期均衡，增减幅度不大，3季度刑事、民事案件审结案件的周期上升，执行案件执结周期变动幅度最为明显，案件执结周期从2季度就开始大大缩短，与刑事、民事结案周期呈反方向的态势。结合图表综合分析原因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1"/>
        <w:gridCol w:w="2131"/>
      </w:tblGrid>
      <w:tr w:rsidR="006078B3" w:rsidRPr="00052792" w:rsidTr="001E0E0E">
        <w:tc>
          <w:tcPr>
            <w:tcW w:w="2130" w:type="dxa"/>
            <w:tcBorders>
              <w:tl2br w:val="single" w:sz="4" w:space="0" w:color="auto"/>
            </w:tcBorders>
          </w:tcPr>
          <w:p w:rsidR="006078B3" w:rsidRPr="00052792" w:rsidRDefault="006078B3" w:rsidP="001E0E0E">
            <w:pPr>
              <w:rPr>
                <w:rFonts w:ascii="仿宋" w:eastAsia="仿宋" w:hAnsi="仿宋" w:hint="eastAsia"/>
                <w:sz w:val="28"/>
                <w:szCs w:val="28"/>
              </w:rPr>
            </w:pPr>
            <w:r w:rsidRPr="00052792">
              <w:rPr>
                <w:rFonts w:ascii="仿宋" w:eastAsia="仿宋" w:hAnsi="仿宋" w:hint="eastAsia"/>
                <w:sz w:val="28"/>
                <w:szCs w:val="28"/>
              </w:rPr>
              <w:t>类型     季度</w:t>
            </w:r>
          </w:p>
        </w:tc>
        <w:tc>
          <w:tcPr>
            <w:tcW w:w="2130" w:type="dxa"/>
          </w:tcPr>
          <w:p w:rsidR="006078B3" w:rsidRPr="00052792" w:rsidRDefault="006078B3" w:rsidP="001E0E0E">
            <w:pPr>
              <w:rPr>
                <w:rFonts w:ascii="仿宋" w:eastAsia="仿宋" w:hAnsi="仿宋" w:hint="eastAsia"/>
                <w:sz w:val="32"/>
                <w:szCs w:val="32"/>
              </w:rPr>
            </w:pPr>
            <w:r w:rsidRPr="00052792">
              <w:rPr>
                <w:rFonts w:ascii="仿宋" w:eastAsia="仿宋" w:hAnsi="仿宋" w:hint="eastAsia"/>
                <w:sz w:val="32"/>
                <w:szCs w:val="32"/>
              </w:rPr>
              <w:t>第一季度</w:t>
            </w:r>
          </w:p>
        </w:tc>
        <w:tc>
          <w:tcPr>
            <w:tcW w:w="2131" w:type="dxa"/>
          </w:tcPr>
          <w:p w:rsidR="006078B3" w:rsidRPr="00052792" w:rsidRDefault="006078B3" w:rsidP="001E0E0E">
            <w:pPr>
              <w:rPr>
                <w:rFonts w:ascii="仿宋" w:eastAsia="仿宋" w:hAnsi="仿宋" w:hint="eastAsia"/>
                <w:sz w:val="32"/>
                <w:szCs w:val="32"/>
              </w:rPr>
            </w:pPr>
            <w:r w:rsidRPr="00052792">
              <w:rPr>
                <w:rFonts w:ascii="仿宋" w:eastAsia="仿宋" w:hAnsi="仿宋" w:hint="eastAsia"/>
                <w:sz w:val="32"/>
                <w:szCs w:val="32"/>
              </w:rPr>
              <w:t>第二季度</w:t>
            </w:r>
          </w:p>
        </w:tc>
        <w:tc>
          <w:tcPr>
            <w:tcW w:w="2131" w:type="dxa"/>
          </w:tcPr>
          <w:p w:rsidR="006078B3" w:rsidRPr="00052792" w:rsidRDefault="006078B3" w:rsidP="001E0E0E">
            <w:pPr>
              <w:rPr>
                <w:rFonts w:ascii="仿宋" w:eastAsia="仿宋" w:hAnsi="仿宋" w:hint="eastAsia"/>
                <w:sz w:val="32"/>
                <w:szCs w:val="32"/>
              </w:rPr>
            </w:pPr>
            <w:r w:rsidRPr="00052792">
              <w:rPr>
                <w:rFonts w:ascii="仿宋" w:eastAsia="仿宋" w:hAnsi="仿宋" w:hint="eastAsia"/>
                <w:sz w:val="32"/>
                <w:szCs w:val="32"/>
              </w:rPr>
              <w:t>第三季度</w:t>
            </w:r>
          </w:p>
        </w:tc>
      </w:tr>
      <w:tr w:rsidR="006078B3" w:rsidRPr="00052792" w:rsidTr="001E0E0E">
        <w:tc>
          <w:tcPr>
            <w:tcW w:w="2130" w:type="dxa"/>
            <w:vAlign w:val="center"/>
          </w:tcPr>
          <w:p w:rsidR="006078B3" w:rsidRPr="00052792" w:rsidRDefault="006078B3" w:rsidP="001E0E0E">
            <w:pPr>
              <w:jc w:val="center"/>
              <w:rPr>
                <w:rFonts w:ascii="仿宋" w:eastAsia="仿宋" w:hAnsi="仿宋" w:hint="eastAsia"/>
                <w:sz w:val="32"/>
                <w:szCs w:val="32"/>
              </w:rPr>
            </w:pPr>
            <w:r w:rsidRPr="00052792">
              <w:rPr>
                <w:rFonts w:ascii="仿宋" w:eastAsia="仿宋" w:hAnsi="仿宋" w:hint="eastAsia"/>
                <w:sz w:val="32"/>
                <w:szCs w:val="32"/>
              </w:rPr>
              <w:t>刑事</w:t>
            </w:r>
          </w:p>
        </w:tc>
        <w:tc>
          <w:tcPr>
            <w:tcW w:w="2130" w:type="dxa"/>
            <w:vAlign w:val="center"/>
          </w:tcPr>
          <w:p w:rsidR="006078B3" w:rsidRPr="00052792" w:rsidRDefault="006078B3" w:rsidP="001E0E0E">
            <w:pPr>
              <w:jc w:val="center"/>
              <w:rPr>
                <w:rFonts w:ascii="仿宋" w:eastAsia="仿宋" w:hAnsi="仿宋" w:hint="eastAsia"/>
                <w:sz w:val="32"/>
                <w:szCs w:val="32"/>
              </w:rPr>
            </w:pPr>
            <w:r w:rsidRPr="00052792">
              <w:rPr>
                <w:rFonts w:ascii="仿宋" w:eastAsia="仿宋" w:hAnsi="仿宋" w:hint="eastAsia"/>
                <w:sz w:val="32"/>
                <w:szCs w:val="32"/>
              </w:rPr>
              <w:t>11</w:t>
            </w:r>
          </w:p>
        </w:tc>
        <w:tc>
          <w:tcPr>
            <w:tcW w:w="2131" w:type="dxa"/>
            <w:vAlign w:val="center"/>
          </w:tcPr>
          <w:p w:rsidR="006078B3" w:rsidRPr="00052792" w:rsidRDefault="006078B3" w:rsidP="001E0E0E">
            <w:pPr>
              <w:jc w:val="center"/>
              <w:rPr>
                <w:rFonts w:ascii="仿宋" w:eastAsia="仿宋" w:hAnsi="仿宋" w:hint="eastAsia"/>
                <w:sz w:val="32"/>
                <w:szCs w:val="32"/>
              </w:rPr>
            </w:pPr>
            <w:r w:rsidRPr="00052792">
              <w:rPr>
                <w:rFonts w:ascii="仿宋" w:eastAsia="仿宋" w:hAnsi="仿宋" w:hint="eastAsia"/>
                <w:sz w:val="32"/>
                <w:szCs w:val="32"/>
              </w:rPr>
              <w:t>25</w:t>
            </w:r>
          </w:p>
        </w:tc>
        <w:tc>
          <w:tcPr>
            <w:tcW w:w="2131" w:type="dxa"/>
            <w:vAlign w:val="center"/>
          </w:tcPr>
          <w:p w:rsidR="006078B3" w:rsidRPr="00052792" w:rsidRDefault="006078B3" w:rsidP="001E0E0E">
            <w:pPr>
              <w:jc w:val="center"/>
              <w:rPr>
                <w:rFonts w:ascii="仿宋" w:eastAsia="仿宋" w:hAnsi="仿宋" w:hint="eastAsia"/>
                <w:sz w:val="32"/>
                <w:szCs w:val="32"/>
              </w:rPr>
            </w:pPr>
            <w:r w:rsidRPr="00052792">
              <w:rPr>
                <w:rFonts w:ascii="仿宋" w:eastAsia="仿宋" w:hAnsi="仿宋" w:hint="eastAsia"/>
                <w:sz w:val="32"/>
                <w:szCs w:val="32"/>
              </w:rPr>
              <w:t>20</w:t>
            </w:r>
          </w:p>
        </w:tc>
      </w:tr>
      <w:tr w:rsidR="006078B3" w:rsidRPr="00052792" w:rsidTr="001E0E0E">
        <w:tc>
          <w:tcPr>
            <w:tcW w:w="2130" w:type="dxa"/>
            <w:vAlign w:val="center"/>
          </w:tcPr>
          <w:p w:rsidR="006078B3" w:rsidRPr="00052792" w:rsidRDefault="006078B3" w:rsidP="001E0E0E">
            <w:pPr>
              <w:jc w:val="center"/>
              <w:rPr>
                <w:rFonts w:ascii="仿宋" w:eastAsia="仿宋" w:hAnsi="仿宋" w:hint="eastAsia"/>
                <w:sz w:val="32"/>
                <w:szCs w:val="32"/>
              </w:rPr>
            </w:pPr>
            <w:r w:rsidRPr="00052792">
              <w:rPr>
                <w:rFonts w:ascii="仿宋" w:eastAsia="仿宋" w:hAnsi="仿宋" w:hint="eastAsia"/>
                <w:sz w:val="32"/>
                <w:szCs w:val="32"/>
              </w:rPr>
              <w:t>民事</w:t>
            </w:r>
          </w:p>
        </w:tc>
        <w:tc>
          <w:tcPr>
            <w:tcW w:w="2130" w:type="dxa"/>
            <w:vAlign w:val="center"/>
          </w:tcPr>
          <w:p w:rsidR="006078B3" w:rsidRPr="00052792" w:rsidRDefault="006078B3" w:rsidP="001E0E0E">
            <w:pPr>
              <w:jc w:val="center"/>
              <w:rPr>
                <w:rFonts w:ascii="仿宋" w:eastAsia="仿宋" w:hAnsi="仿宋" w:hint="eastAsia"/>
                <w:sz w:val="32"/>
                <w:szCs w:val="32"/>
              </w:rPr>
            </w:pPr>
            <w:r w:rsidRPr="00052792">
              <w:rPr>
                <w:rFonts w:ascii="仿宋" w:eastAsia="仿宋" w:hAnsi="仿宋" w:hint="eastAsia"/>
                <w:sz w:val="32"/>
                <w:szCs w:val="32"/>
              </w:rPr>
              <w:t>47</w:t>
            </w:r>
          </w:p>
        </w:tc>
        <w:tc>
          <w:tcPr>
            <w:tcW w:w="2131" w:type="dxa"/>
            <w:vAlign w:val="center"/>
          </w:tcPr>
          <w:p w:rsidR="006078B3" w:rsidRPr="00052792" w:rsidRDefault="006078B3" w:rsidP="001E0E0E">
            <w:pPr>
              <w:jc w:val="center"/>
              <w:rPr>
                <w:rFonts w:ascii="仿宋" w:eastAsia="仿宋" w:hAnsi="仿宋" w:hint="eastAsia"/>
                <w:sz w:val="32"/>
                <w:szCs w:val="32"/>
              </w:rPr>
            </w:pPr>
            <w:r w:rsidRPr="00052792">
              <w:rPr>
                <w:rFonts w:ascii="仿宋" w:eastAsia="仿宋" w:hAnsi="仿宋" w:hint="eastAsia"/>
                <w:sz w:val="32"/>
                <w:szCs w:val="32"/>
              </w:rPr>
              <w:t>53</w:t>
            </w:r>
          </w:p>
        </w:tc>
        <w:tc>
          <w:tcPr>
            <w:tcW w:w="2131" w:type="dxa"/>
            <w:vAlign w:val="center"/>
          </w:tcPr>
          <w:p w:rsidR="006078B3" w:rsidRPr="00052792" w:rsidRDefault="006078B3" w:rsidP="001E0E0E">
            <w:pPr>
              <w:jc w:val="center"/>
              <w:rPr>
                <w:rFonts w:ascii="仿宋" w:eastAsia="仿宋" w:hAnsi="仿宋" w:hint="eastAsia"/>
                <w:sz w:val="32"/>
                <w:szCs w:val="32"/>
              </w:rPr>
            </w:pPr>
            <w:r w:rsidRPr="00052792">
              <w:rPr>
                <w:rFonts w:ascii="仿宋" w:eastAsia="仿宋" w:hAnsi="仿宋" w:hint="eastAsia"/>
                <w:sz w:val="32"/>
                <w:szCs w:val="32"/>
              </w:rPr>
              <w:t>37</w:t>
            </w:r>
          </w:p>
        </w:tc>
      </w:tr>
      <w:tr w:rsidR="006078B3" w:rsidRPr="00052792" w:rsidTr="001E0E0E">
        <w:tc>
          <w:tcPr>
            <w:tcW w:w="2130" w:type="dxa"/>
            <w:vAlign w:val="center"/>
          </w:tcPr>
          <w:p w:rsidR="006078B3" w:rsidRPr="00052792" w:rsidRDefault="006078B3" w:rsidP="001E0E0E">
            <w:pPr>
              <w:jc w:val="center"/>
              <w:rPr>
                <w:rFonts w:ascii="仿宋" w:eastAsia="仿宋" w:hAnsi="仿宋" w:hint="eastAsia"/>
                <w:sz w:val="32"/>
                <w:szCs w:val="32"/>
              </w:rPr>
            </w:pPr>
            <w:r w:rsidRPr="00052792">
              <w:rPr>
                <w:rFonts w:ascii="仿宋" w:eastAsia="仿宋" w:hAnsi="仿宋" w:hint="eastAsia"/>
                <w:sz w:val="32"/>
                <w:szCs w:val="32"/>
              </w:rPr>
              <w:t>行政</w:t>
            </w:r>
          </w:p>
        </w:tc>
        <w:tc>
          <w:tcPr>
            <w:tcW w:w="2130" w:type="dxa"/>
            <w:vAlign w:val="center"/>
          </w:tcPr>
          <w:p w:rsidR="006078B3" w:rsidRPr="00052792" w:rsidRDefault="006078B3" w:rsidP="001E0E0E">
            <w:pPr>
              <w:jc w:val="center"/>
              <w:rPr>
                <w:rFonts w:ascii="仿宋" w:eastAsia="仿宋" w:hAnsi="仿宋" w:hint="eastAsia"/>
                <w:sz w:val="32"/>
                <w:szCs w:val="32"/>
              </w:rPr>
            </w:pPr>
          </w:p>
        </w:tc>
        <w:tc>
          <w:tcPr>
            <w:tcW w:w="2131" w:type="dxa"/>
            <w:vAlign w:val="center"/>
          </w:tcPr>
          <w:p w:rsidR="006078B3" w:rsidRPr="00052792" w:rsidRDefault="006078B3" w:rsidP="001E0E0E">
            <w:pPr>
              <w:jc w:val="center"/>
              <w:rPr>
                <w:rFonts w:ascii="仿宋" w:eastAsia="仿宋" w:hAnsi="仿宋" w:hint="eastAsia"/>
                <w:sz w:val="32"/>
                <w:szCs w:val="32"/>
              </w:rPr>
            </w:pPr>
            <w:r w:rsidRPr="00052792">
              <w:rPr>
                <w:rFonts w:ascii="仿宋" w:eastAsia="仿宋" w:hAnsi="仿宋" w:hint="eastAsia"/>
                <w:sz w:val="32"/>
                <w:szCs w:val="32"/>
              </w:rPr>
              <w:t>1</w:t>
            </w:r>
          </w:p>
        </w:tc>
        <w:tc>
          <w:tcPr>
            <w:tcW w:w="2131" w:type="dxa"/>
            <w:vAlign w:val="center"/>
          </w:tcPr>
          <w:p w:rsidR="006078B3" w:rsidRPr="00052792" w:rsidRDefault="006078B3" w:rsidP="001E0E0E">
            <w:pPr>
              <w:jc w:val="center"/>
              <w:rPr>
                <w:rFonts w:ascii="仿宋" w:eastAsia="仿宋" w:hAnsi="仿宋" w:hint="eastAsia"/>
                <w:sz w:val="32"/>
                <w:szCs w:val="32"/>
              </w:rPr>
            </w:pPr>
          </w:p>
        </w:tc>
      </w:tr>
      <w:tr w:rsidR="006078B3" w:rsidRPr="00052792" w:rsidTr="001E0E0E">
        <w:tc>
          <w:tcPr>
            <w:tcW w:w="2130" w:type="dxa"/>
            <w:vAlign w:val="center"/>
          </w:tcPr>
          <w:p w:rsidR="006078B3" w:rsidRPr="00052792" w:rsidRDefault="006078B3" w:rsidP="001E0E0E">
            <w:pPr>
              <w:jc w:val="center"/>
              <w:rPr>
                <w:rFonts w:ascii="仿宋" w:eastAsia="仿宋" w:hAnsi="仿宋" w:hint="eastAsia"/>
                <w:sz w:val="32"/>
                <w:szCs w:val="32"/>
              </w:rPr>
            </w:pPr>
            <w:r w:rsidRPr="00052792">
              <w:rPr>
                <w:rFonts w:ascii="仿宋" w:eastAsia="仿宋" w:hAnsi="仿宋" w:hint="eastAsia"/>
                <w:sz w:val="32"/>
                <w:szCs w:val="32"/>
              </w:rPr>
              <w:t>执行</w:t>
            </w:r>
          </w:p>
        </w:tc>
        <w:tc>
          <w:tcPr>
            <w:tcW w:w="2130" w:type="dxa"/>
            <w:vAlign w:val="center"/>
          </w:tcPr>
          <w:p w:rsidR="006078B3" w:rsidRPr="00052792" w:rsidRDefault="006078B3" w:rsidP="001E0E0E">
            <w:pPr>
              <w:jc w:val="center"/>
              <w:rPr>
                <w:rFonts w:ascii="仿宋" w:eastAsia="仿宋" w:hAnsi="仿宋" w:hint="eastAsia"/>
                <w:sz w:val="32"/>
                <w:szCs w:val="32"/>
              </w:rPr>
            </w:pPr>
            <w:r w:rsidRPr="00052792">
              <w:rPr>
                <w:rFonts w:ascii="仿宋" w:eastAsia="仿宋" w:hAnsi="仿宋" w:hint="eastAsia"/>
                <w:sz w:val="32"/>
                <w:szCs w:val="32"/>
              </w:rPr>
              <w:t>1</w:t>
            </w:r>
          </w:p>
        </w:tc>
        <w:tc>
          <w:tcPr>
            <w:tcW w:w="2131" w:type="dxa"/>
            <w:vAlign w:val="center"/>
          </w:tcPr>
          <w:p w:rsidR="006078B3" w:rsidRPr="00052792" w:rsidRDefault="006078B3" w:rsidP="001E0E0E">
            <w:pPr>
              <w:jc w:val="center"/>
              <w:rPr>
                <w:rFonts w:ascii="仿宋" w:eastAsia="仿宋" w:hAnsi="仿宋" w:hint="eastAsia"/>
                <w:sz w:val="32"/>
                <w:szCs w:val="32"/>
              </w:rPr>
            </w:pPr>
            <w:r w:rsidRPr="00052792">
              <w:rPr>
                <w:rFonts w:ascii="仿宋" w:eastAsia="仿宋" w:hAnsi="仿宋" w:hint="eastAsia"/>
                <w:sz w:val="32"/>
                <w:szCs w:val="32"/>
              </w:rPr>
              <w:t>5</w:t>
            </w:r>
          </w:p>
        </w:tc>
        <w:tc>
          <w:tcPr>
            <w:tcW w:w="2131" w:type="dxa"/>
            <w:vAlign w:val="center"/>
          </w:tcPr>
          <w:p w:rsidR="006078B3" w:rsidRPr="00052792" w:rsidRDefault="006078B3" w:rsidP="001E0E0E">
            <w:pPr>
              <w:jc w:val="center"/>
              <w:rPr>
                <w:rFonts w:ascii="仿宋" w:eastAsia="仿宋" w:hAnsi="仿宋" w:hint="eastAsia"/>
                <w:sz w:val="32"/>
                <w:szCs w:val="32"/>
              </w:rPr>
            </w:pPr>
            <w:r w:rsidRPr="00052792">
              <w:rPr>
                <w:rFonts w:ascii="仿宋" w:eastAsia="仿宋" w:hAnsi="仿宋" w:hint="eastAsia"/>
                <w:sz w:val="32"/>
                <w:szCs w:val="32"/>
              </w:rPr>
              <w:t>36</w:t>
            </w:r>
          </w:p>
        </w:tc>
      </w:tr>
      <w:tr w:rsidR="006078B3" w:rsidRPr="00052792" w:rsidTr="001E0E0E">
        <w:tc>
          <w:tcPr>
            <w:tcW w:w="2130" w:type="dxa"/>
            <w:vAlign w:val="center"/>
          </w:tcPr>
          <w:p w:rsidR="006078B3" w:rsidRPr="00052792" w:rsidRDefault="006078B3" w:rsidP="001E0E0E">
            <w:pPr>
              <w:jc w:val="center"/>
              <w:rPr>
                <w:rFonts w:ascii="仿宋" w:eastAsia="仿宋" w:hAnsi="仿宋" w:hint="eastAsia"/>
                <w:sz w:val="32"/>
                <w:szCs w:val="32"/>
              </w:rPr>
            </w:pPr>
            <w:r w:rsidRPr="00052792">
              <w:rPr>
                <w:rFonts w:ascii="仿宋" w:eastAsia="仿宋" w:hAnsi="仿宋" w:hint="eastAsia"/>
                <w:sz w:val="32"/>
                <w:szCs w:val="32"/>
              </w:rPr>
              <w:t>合计</w:t>
            </w:r>
          </w:p>
        </w:tc>
        <w:tc>
          <w:tcPr>
            <w:tcW w:w="2130" w:type="dxa"/>
            <w:vAlign w:val="center"/>
          </w:tcPr>
          <w:p w:rsidR="006078B3" w:rsidRPr="00052792" w:rsidRDefault="006078B3" w:rsidP="001E0E0E">
            <w:pPr>
              <w:jc w:val="center"/>
              <w:rPr>
                <w:rFonts w:ascii="仿宋" w:eastAsia="仿宋" w:hAnsi="仿宋" w:hint="eastAsia"/>
                <w:sz w:val="32"/>
                <w:szCs w:val="32"/>
              </w:rPr>
            </w:pPr>
            <w:r w:rsidRPr="00052792">
              <w:rPr>
                <w:rFonts w:ascii="仿宋" w:eastAsia="仿宋" w:hAnsi="仿宋" w:hint="eastAsia"/>
                <w:sz w:val="32"/>
                <w:szCs w:val="32"/>
              </w:rPr>
              <w:t>59</w:t>
            </w:r>
          </w:p>
        </w:tc>
        <w:tc>
          <w:tcPr>
            <w:tcW w:w="2131" w:type="dxa"/>
            <w:vAlign w:val="center"/>
          </w:tcPr>
          <w:p w:rsidR="006078B3" w:rsidRPr="00052792" w:rsidRDefault="006078B3" w:rsidP="001E0E0E">
            <w:pPr>
              <w:jc w:val="center"/>
              <w:rPr>
                <w:rFonts w:ascii="仿宋" w:eastAsia="仿宋" w:hAnsi="仿宋" w:hint="eastAsia"/>
                <w:sz w:val="32"/>
                <w:szCs w:val="32"/>
              </w:rPr>
            </w:pPr>
            <w:r w:rsidRPr="00052792">
              <w:rPr>
                <w:rFonts w:ascii="仿宋" w:eastAsia="仿宋" w:hAnsi="仿宋" w:hint="eastAsia"/>
                <w:sz w:val="32"/>
                <w:szCs w:val="32"/>
              </w:rPr>
              <w:t>84</w:t>
            </w:r>
          </w:p>
        </w:tc>
        <w:tc>
          <w:tcPr>
            <w:tcW w:w="2131" w:type="dxa"/>
            <w:vAlign w:val="center"/>
          </w:tcPr>
          <w:p w:rsidR="006078B3" w:rsidRPr="00052792" w:rsidRDefault="006078B3" w:rsidP="001E0E0E">
            <w:pPr>
              <w:jc w:val="center"/>
              <w:rPr>
                <w:rFonts w:ascii="仿宋" w:eastAsia="仿宋" w:hAnsi="仿宋" w:hint="eastAsia"/>
                <w:sz w:val="32"/>
                <w:szCs w:val="32"/>
              </w:rPr>
            </w:pPr>
            <w:r w:rsidRPr="00052792">
              <w:rPr>
                <w:rFonts w:ascii="仿宋" w:eastAsia="仿宋" w:hAnsi="仿宋" w:hint="eastAsia"/>
                <w:sz w:val="32"/>
                <w:szCs w:val="32"/>
              </w:rPr>
              <w:t>93</w:t>
            </w:r>
          </w:p>
        </w:tc>
      </w:tr>
    </w:tbl>
    <w:p w:rsidR="006078B3" w:rsidRDefault="006078B3" w:rsidP="006078B3">
      <w:pPr>
        <w:ind w:firstLineChars="200" w:firstLine="640"/>
        <w:rPr>
          <w:rFonts w:ascii="仿宋" w:eastAsia="仿宋" w:hAnsi="仿宋" w:hint="eastAsia"/>
          <w:sz w:val="32"/>
          <w:szCs w:val="32"/>
        </w:rPr>
      </w:pPr>
      <w:r>
        <w:rPr>
          <w:rFonts w:ascii="仿宋" w:eastAsia="仿宋" w:hAnsi="仿宋" w:hint="eastAsia"/>
          <w:sz w:val="32"/>
          <w:szCs w:val="32"/>
        </w:rPr>
        <w:t>以刑事、民事为例：</w:t>
      </w:r>
    </w:p>
    <w:p w:rsidR="006078B3" w:rsidRDefault="006078B3" w:rsidP="006078B3">
      <w:pPr>
        <w:ind w:firstLineChars="200" w:firstLine="640"/>
        <w:rPr>
          <w:rFonts w:ascii="仿宋" w:eastAsia="仿宋" w:hAnsi="仿宋" w:hint="eastAsia"/>
          <w:sz w:val="32"/>
          <w:szCs w:val="32"/>
        </w:rPr>
      </w:pPr>
      <w:r>
        <w:rPr>
          <w:rFonts w:ascii="仿宋" w:eastAsia="仿宋" w:hAnsi="仿宋" w:hint="eastAsia"/>
          <w:sz w:val="32"/>
          <w:szCs w:val="32"/>
        </w:rPr>
        <w:t>刑事、民事1、2季度收案数一直呈涨幅趋势，尤以2季度涨幅最大，2季度刑事、民事的罪名、案由一审案件同比1季度增幅较大，案件诉前周期和诉后周期都相对较长，很多案件当事人传票采用公告送达，普通程序结案，这一情况造成案件审理周期变长，运行到3季度结案。</w:t>
      </w:r>
    </w:p>
    <w:p w:rsidR="006078B3" w:rsidRDefault="006078B3" w:rsidP="006078B3">
      <w:pPr>
        <w:ind w:firstLineChars="200" w:firstLine="640"/>
        <w:rPr>
          <w:rFonts w:ascii="仿宋" w:eastAsia="仿宋" w:hAnsi="仿宋" w:hint="eastAsia"/>
          <w:sz w:val="32"/>
          <w:szCs w:val="32"/>
        </w:rPr>
      </w:pPr>
      <w:r>
        <w:rPr>
          <w:rFonts w:ascii="仿宋" w:eastAsia="仿宋" w:hAnsi="仿宋" w:hint="eastAsia"/>
          <w:sz w:val="32"/>
          <w:szCs w:val="32"/>
        </w:rPr>
        <w:t>以执行为例：</w:t>
      </w:r>
    </w:p>
    <w:p w:rsidR="006078B3" w:rsidRDefault="006078B3" w:rsidP="006078B3">
      <w:pPr>
        <w:ind w:firstLineChars="200" w:firstLine="640"/>
        <w:rPr>
          <w:rFonts w:ascii="仿宋" w:eastAsia="仿宋" w:hAnsi="仿宋" w:hint="eastAsia"/>
          <w:sz w:val="32"/>
          <w:szCs w:val="32"/>
        </w:rPr>
      </w:pPr>
      <w:r>
        <w:rPr>
          <w:rFonts w:ascii="仿宋" w:eastAsia="仿宋" w:hAnsi="仿宋" w:hint="eastAsia"/>
          <w:sz w:val="32"/>
          <w:szCs w:val="32"/>
        </w:rPr>
        <w:t>执行案件1季度新收案件30件，2季度新收案件23件，3季度新收案件15件，其中1、2季度执行收案终本案件的比重已超出1、2季度新收执行案件的60%。而终本案件的特殊性就是必须自立案之日起3个月才可以执结，终本案件势必会在2、3季度执结，导致2、3季度执行案件执结周期大</w:t>
      </w:r>
      <w:r>
        <w:rPr>
          <w:rFonts w:ascii="仿宋" w:eastAsia="仿宋" w:hAnsi="仿宋" w:hint="eastAsia"/>
          <w:sz w:val="32"/>
          <w:szCs w:val="32"/>
        </w:rPr>
        <w:lastRenderedPageBreak/>
        <w:t>大缩短。</w:t>
      </w:r>
    </w:p>
    <w:p w:rsidR="006078B3" w:rsidRDefault="006078B3" w:rsidP="006078B3">
      <w:pPr>
        <w:ind w:firstLine="645"/>
        <w:rPr>
          <w:rFonts w:ascii="仿宋" w:eastAsia="仿宋" w:hAnsi="仿宋" w:hint="eastAsia"/>
          <w:sz w:val="32"/>
          <w:szCs w:val="32"/>
        </w:rPr>
      </w:pPr>
      <w:r>
        <w:rPr>
          <w:rFonts w:ascii="仿宋" w:eastAsia="仿宋" w:hAnsi="仿宋" w:hint="eastAsia"/>
          <w:sz w:val="32"/>
          <w:szCs w:val="32"/>
        </w:rPr>
        <w:t>3、继续落实清理旧存未结诉讼案件工作</w:t>
      </w:r>
    </w:p>
    <w:p w:rsidR="006078B3" w:rsidRDefault="006078B3" w:rsidP="006078B3">
      <w:pPr>
        <w:ind w:firstLine="645"/>
        <w:rPr>
          <w:rFonts w:ascii="仿宋" w:eastAsia="仿宋" w:hAnsi="仿宋" w:hint="eastAsia"/>
          <w:sz w:val="32"/>
          <w:szCs w:val="32"/>
        </w:rPr>
      </w:pPr>
      <w:r>
        <w:rPr>
          <w:rFonts w:ascii="仿宋" w:eastAsia="仿宋" w:hAnsi="仿宋" w:hint="eastAsia"/>
          <w:sz w:val="32"/>
          <w:szCs w:val="32"/>
        </w:rPr>
        <w:t>按照一季度部署，采取有针对的审结方式，逐案调度。审管办对1、2季度未结案件进行了排查，对超过五个月未结的案件，直接报送给院长，一把手院长亲自督导审结。经过调度，排查，汪清林区基层法院新收案件全部审限内结案。</w:t>
      </w:r>
    </w:p>
    <w:p w:rsidR="006078B3" w:rsidRDefault="006078B3" w:rsidP="006078B3">
      <w:pPr>
        <w:ind w:firstLine="645"/>
        <w:rPr>
          <w:rFonts w:ascii="仿宋" w:eastAsia="仿宋" w:hAnsi="仿宋" w:hint="eastAsia"/>
          <w:sz w:val="32"/>
          <w:szCs w:val="32"/>
        </w:rPr>
      </w:pPr>
      <w:r>
        <w:rPr>
          <w:rFonts w:ascii="仿宋" w:eastAsia="仿宋" w:hAnsi="仿宋" w:hint="eastAsia"/>
          <w:sz w:val="32"/>
          <w:szCs w:val="32"/>
        </w:rPr>
        <w:t>4、加强卷宗归档及电子卷宗同步生成运用工作</w:t>
      </w:r>
    </w:p>
    <w:p w:rsidR="006078B3" w:rsidRDefault="006078B3" w:rsidP="006078B3">
      <w:pPr>
        <w:ind w:firstLine="645"/>
        <w:rPr>
          <w:rFonts w:ascii="仿宋" w:eastAsia="仿宋" w:hAnsi="仿宋" w:hint="eastAsia"/>
          <w:sz w:val="32"/>
          <w:szCs w:val="32"/>
        </w:rPr>
      </w:pPr>
      <w:r>
        <w:rPr>
          <w:rFonts w:ascii="仿宋" w:eastAsia="仿宋" w:hAnsi="仿宋" w:hint="eastAsia"/>
          <w:sz w:val="32"/>
          <w:szCs w:val="32"/>
        </w:rPr>
        <w:t>重视结案归档工作，严格落实省法院文件精神，案件结案后5个工作日形成卷宗并归档的要求，召开全院大会，明确文件精神，具体落实规定，审管办与办公室联合清查了超期未归档清况，对1个月以上未归档的案件，限令会议后5日内必须归档，经过清理，1个月以上未归档的案件已全部归档完毕。</w:t>
      </w:r>
    </w:p>
    <w:p w:rsidR="006078B3" w:rsidRDefault="006078B3" w:rsidP="006078B3">
      <w:pPr>
        <w:ind w:firstLine="645"/>
        <w:rPr>
          <w:rFonts w:ascii="仿宋" w:eastAsia="仿宋" w:hAnsi="仿宋" w:hint="eastAsia"/>
          <w:sz w:val="32"/>
          <w:szCs w:val="32"/>
        </w:rPr>
      </w:pPr>
      <w:r>
        <w:rPr>
          <w:rFonts w:ascii="仿宋" w:eastAsia="仿宋" w:hAnsi="仿宋" w:hint="eastAsia"/>
          <w:sz w:val="32"/>
          <w:szCs w:val="32"/>
        </w:rPr>
        <w:t>落实电子卷宗同步生成及电子卷宗深度应有，办公室指派一名文员具体负责电子卷宗签收及生成工作，同时要求全院员额法官加强智审系统运用的学习，并邀请网络管理人员对全院的书记员进行了智审系统运用的学习培训。现全院法官和书记员都能熟练运用智审系统办案。</w:t>
      </w:r>
    </w:p>
    <w:p w:rsidR="006078B3" w:rsidRDefault="006078B3" w:rsidP="006078B3">
      <w:pPr>
        <w:ind w:firstLine="645"/>
        <w:rPr>
          <w:rFonts w:ascii="仿宋" w:eastAsia="仿宋" w:hAnsi="仿宋" w:hint="eastAsia"/>
          <w:sz w:val="32"/>
          <w:szCs w:val="32"/>
        </w:rPr>
      </w:pPr>
      <w:r>
        <w:rPr>
          <w:rFonts w:ascii="仿宋" w:eastAsia="仿宋" w:hAnsi="仿宋" w:hint="eastAsia"/>
          <w:sz w:val="32"/>
          <w:szCs w:val="32"/>
        </w:rPr>
        <w:t>二、实现“信得过”的司法公正——强调案件质量</w:t>
      </w:r>
    </w:p>
    <w:p w:rsidR="006078B3" w:rsidRDefault="006078B3" w:rsidP="006078B3">
      <w:pPr>
        <w:ind w:firstLine="645"/>
        <w:rPr>
          <w:rFonts w:ascii="仿宋" w:eastAsia="仿宋" w:hAnsi="仿宋" w:hint="eastAsia"/>
          <w:sz w:val="32"/>
          <w:szCs w:val="32"/>
        </w:rPr>
      </w:pPr>
      <w:r>
        <w:rPr>
          <w:rFonts w:ascii="仿宋" w:eastAsia="仿宋" w:hAnsi="仿宋" w:hint="eastAsia"/>
          <w:sz w:val="32"/>
          <w:szCs w:val="32"/>
        </w:rPr>
        <w:t>严格落实省院院庭长办案的规定，发回、指令、检查监督类案件由院级入额领导承办。对发回重审的一起刑事案件，由院长亲自担任审判长和两名入额庭长组成合议庭，现此案</w:t>
      </w:r>
      <w:r>
        <w:rPr>
          <w:rFonts w:ascii="仿宋" w:eastAsia="仿宋" w:hAnsi="仿宋" w:hint="eastAsia"/>
          <w:sz w:val="32"/>
          <w:szCs w:val="32"/>
        </w:rPr>
        <w:lastRenderedPageBreak/>
        <w:t>正在审理阶段。</w:t>
      </w:r>
    </w:p>
    <w:p w:rsidR="006078B3" w:rsidRDefault="006078B3" w:rsidP="006078B3">
      <w:pPr>
        <w:ind w:firstLine="645"/>
        <w:rPr>
          <w:rFonts w:ascii="仿宋" w:eastAsia="仿宋" w:hAnsi="仿宋" w:hint="eastAsia"/>
          <w:sz w:val="32"/>
          <w:szCs w:val="32"/>
        </w:rPr>
      </w:pPr>
      <w:r>
        <w:rPr>
          <w:rFonts w:ascii="仿宋" w:eastAsia="仿宋" w:hAnsi="仿宋" w:hint="eastAsia"/>
          <w:sz w:val="32"/>
          <w:szCs w:val="32"/>
        </w:rPr>
        <w:t>三、实现“看得见”的司法公正——继续深入司法公开工作</w:t>
      </w:r>
    </w:p>
    <w:p w:rsidR="006078B3" w:rsidRDefault="006078B3" w:rsidP="006078B3">
      <w:pPr>
        <w:ind w:firstLine="645"/>
        <w:rPr>
          <w:rFonts w:ascii="仿宋" w:eastAsia="仿宋" w:hAnsi="仿宋" w:hint="eastAsia"/>
          <w:sz w:val="32"/>
          <w:szCs w:val="32"/>
        </w:rPr>
      </w:pPr>
      <w:r>
        <w:rPr>
          <w:rFonts w:ascii="仿宋" w:eastAsia="仿宋" w:hAnsi="仿宋" w:hint="eastAsia"/>
          <w:sz w:val="32"/>
          <w:szCs w:val="32"/>
        </w:rPr>
        <w:t>1、对员额法官承办的案件分季度进行公示。2017年截止现在，入额的院领导平均办案为人均15.07件，其他入额法官人均办案16件，全部超额完成省院文件规定的办案指标。</w:t>
      </w:r>
    </w:p>
    <w:p w:rsidR="006078B3" w:rsidRDefault="006078B3" w:rsidP="006078B3">
      <w:pPr>
        <w:ind w:firstLine="645"/>
        <w:rPr>
          <w:rFonts w:ascii="仿宋" w:eastAsia="仿宋" w:hAnsi="仿宋" w:hint="eastAsia"/>
          <w:sz w:val="32"/>
          <w:szCs w:val="32"/>
        </w:rPr>
      </w:pPr>
      <w:r>
        <w:rPr>
          <w:rFonts w:ascii="仿宋" w:eastAsia="仿宋" w:hAnsi="仿宋" w:hint="eastAsia"/>
          <w:sz w:val="32"/>
          <w:szCs w:val="32"/>
        </w:rPr>
        <w:t>2、推进庭审公开及同步录音录像。贯彻落实省法院的要求，法院直播案件总数应当不低于本地区当年新收诉讼案件总数的5%的规定，从第3季度也就是今年的7月份科技法庭建成后，对符合庭审直播条件的案件全部现场直播，现有4起案件通过新浪网直接（3起在汪清林区基层法院直播，另一起在科技法庭没有建成前积极协调汪清县人民法院的领导，并在7月前在汪清县人民法院直播1起民事案件）。在此基础上，又制定员额法官年直播案件数的相关规定，计划在年末完成20起案件的直播任务。</w:t>
      </w:r>
    </w:p>
    <w:p w:rsidR="006078B3" w:rsidRDefault="006078B3" w:rsidP="006078B3">
      <w:pPr>
        <w:ind w:firstLine="645"/>
        <w:rPr>
          <w:rFonts w:ascii="仿宋" w:eastAsia="仿宋" w:hAnsi="仿宋" w:hint="eastAsia"/>
          <w:sz w:val="32"/>
          <w:szCs w:val="32"/>
        </w:rPr>
      </w:pPr>
      <w:r>
        <w:rPr>
          <w:rFonts w:ascii="仿宋" w:eastAsia="仿宋" w:hAnsi="仿宋" w:hint="eastAsia"/>
          <w:sz w:val="32"/>
          <w:szCs w:val="32"/>
        </w:rPr>
        <w:t>3、审判流程公开、裁判文书公开、执行信息公开。审管办协调各业务庭室，对2017年1—8月遗漏公开的裁判文书和公开信息进行了逐一的排查，核对，于9月15日前各业务庭室将2017年未公开的裁判文书和公开信息全部分类公布到中国裁判文书网站上。从而实现审判、裁判文书、执行信息全公开。</w:t>
      </w:r>
    </w:p>
    <w:p w:rsidR="006078B3" w:rsidRDefault="006078B3" w:rsidP="006078B3">
      <w:pPr>
        <w:ind w:firstLine="645"/>
        <w:rPr>
          <w:rFonts w:ascii="仿宋" w:eastAsia="仿宋" w:hAnsi="仿宋" w:hint="eastAsia"/>
          <w:sz w:val="32"/>
          <w:szCs w:val="32"/>
        </w:rPr>
      </w:pPr>
      <w:r>
        <w:rPr>
          <w:rFonts w:ascii="仿宋" w:eastAsia="仿宋" w:hAnsi="仿宋" w:hint="eastAsia"/>
          <w:sz w:val="32"/>
          <w:szCs w:val="32"/>
        </w:rPr>
        <w:lastRenderedPageBreak/>
        <w:t>四、司法改革工作重点</w:t>
      </w:r>
    </w:p>
    <w:p w:rsidR="006078B3" w:rsidRDefault="006078B3" w:rsidP="006078B3">
      <w:pPr>
        <w:ind w:firstLine="645"/>
        <w:rPr>
          <w:rFonts w:ascii="仿宋" w:eastAsia="仿宋" w:hAnsi="仿宋" w:hint="eastAsia"/>
          <w:sz w:val="32"/>
          <w:szCs w:val="32"/>
        </w:rPr>
      </w:pPr>
      <w:r>
        <w:rPr>
          <w:rFonts w:ascii="仿宋" w:eastAsia="仿宋" w:hAnsi="仿宋" w:hint="eastAsia"/>
          <w:sz w:val="32"/>
          <w:szCs w:val="32"/>
        </w:rPr>
        <w:t>1、加强审判委员会改革。配备一名专职审委会秘书，由审判委会委员定期对其进行业务指导。同时要求入额法官每季度撰写一篇调研案例，提交审委会讨论研究。</w:t>
      </w:r>
    </w:p>
    <w:p w:rsidR="006078B3" w:rsidRDefault="006078B3" w:rsidP="006078B3">
      <w:pPr>
        <w:ind w:firstLine="645"/>
        <w:rPr>
          <w:rFonts w:ascii="仿宋" w:eastAsia="仿宋" w:hAnsi="仿宋" w:hint="eastAsia"/>
          <w:sz w:val="32"/>
          <w:szCs w:val="32"/>
        </w:rPr>
      </w:pPr>
      <w:r>
        <w:rPr>
          <w:rFonts w:ascii="仿宋" w:eastAsia="仿宋" w:hAnsi="仿宋" w:hint="eastAsia"/>
          <w:sz w:val="32"/>
          <w:szCs w:val="32"/>
        </w:rPr>
        <w:t>2、成立员额法官工作委员会，由审监庭制定计划，寻找案源，有针对性的进行案例研讨。</w:t>
      </w:r>
    </w:p>
    <w:p w:rsidR="006078B3" w:rsidRDefault="006078B3" w:rsidP="006078B3">
      <w:pPr>
        <w:ind w:firstLine="645"/>
        <w:rPr>
          <w:rFonts w:ascii="仿宋" w:eastAsia="仿宋" w:hAnsi="仿宋" w:hint="eastAsia"/>
          <w:sz w:val="32"/>
          <w:szCs w:val="32"/>
        </w:rPr>
      </w:pPr>
      <w:r>
        <w:rPr>
          <w:rFonts w:ascii="仿宋" w:eastAsia="仿宋" w:hAnsi="仿宋" w:hint="eastAsia"/>
          <w:sz w:val="32"/>
          <w:szCs w:val="32"/>
        </w:rPr>
        <w:t>3、加强家事法官的培训，强化家事法官心理素质及应变能力素质教育的学习。</w:t>
      </w:r>
    </w:p>
    <w:p w:rsidR="006078B3" w:rsidRDefault="006078B3" w:rsidP="006078B3">
      <w:pPr>
        <w:ind w:firstLine="645"/>
        <w:rPr>
          <w:rFonts w:ascii="仿宋" w:eastAsia="仿宋" w:hAnsi="仿宋" w:hint="eastAsia"/>
          <w:sz w:val="32"/>
          <w:szCs w:val="32"/>
        </w:rPr>
      </w:pPr>
      <w:r>
        <w:rPr>
          <w:rFonts w:ascii="仿宋" w:eastAsia="仿宋" w:hAnsi="仿宋" w:hint="eastAsia"/>
          <w:sz w:val="32"/>
          <w:szCs w:val="32"/>
        </w:rPr>
        <w:t>五、司法数据统计分析工作</w:t>
      </w:r>
    </w:p>
    <w:p w:rsidR="006078B3" w:rsidRPr="00F97946" w:rsidRDefault="006078B3" w:rsidP="006078B3">
      <w:pPr>
        <w:ind w:firstLine="645"/>
        <w:rPr>
          <w:rFonts w:ascii="仿宋" w:eastAsia="仿宋" w:hAnsi="仿宋" w:hint="eastAsia"/>
          <w:sz w:val="32"/>
          <w:szCs w:val="32"/>
        </w:rPr>
      </w:pPr>
      <w:r>
        <w:rPr>
          <w:rFonts w:ascii="仿宋" w:eastAsia="仿宋" w:hAnsi="仿宋" w:hint="eastAsia"/>
          <w:sz w:val="32"/>
          <w:szCs w:val="32"/>
        </w:rPr>
        <w:t>年初，根据法院的民事实际案由增幅变化，拟定了司法统计调研的课题《论小额诉讼程序》，并指定业务庭室相关人员对此课题进行了深入的调查与研究，形成了调研论文。4季度，根据法院刑事案件罪名的变化，现刑事审判庭正在拟定新的调研课题。</w:t>
      </w:r>
    </w:p>
    <w:p w:rsidR="008D632E" w:rsidRDefault="008D632E"/>
    <w:sectPr w:rsidR="008D632E">
      <w:headerReference w:type="default" r:id="rId4"/>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31" w:rsidRDefault="006078B3" w:rsidP="00AE1DE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C3F31" w:rsidRDefault="006078B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31" w:rsidRDefault="006078B3" w:rsidP="00AE1DE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5</w:t>
    </w:r>
    <w:r>
      <w:rPr>
        <w:rStyle w:val="a4"/>
      </w:rPr>
      <w:fldChar w:fldCharType="end"/>
    </w:r>
  </w:p>
  <w:p w:rsidR="00CC3F31" w:rsidRDefault="006078B3">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CEE" w:rsidRDefault="006078B3" w:rsidP="006E4585">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78B3"/>
    <w:rsid w:val="006078B3"/>
    <w:rsid w:val="008D63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8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078B3"/>
    <w:pPr>
      <w:tabs>
        <w:tab w:val="center" w:pos="4153"/>
        <w:tab w:val="right" w:pos="8306"/>
      </w:tabs>
      <w:snapToGrid w:val="0"/>
      <w:jc w:val="left"/>
    </w:pPr>
    <w:rPr>
      <w:sz w:val="18"/>
      <w:szCs w:val="18"/>
    </w:rPr>
  </w:style>
  <w:style w:type="character" w:customStyle="1" w:styleId="Char">
    <w:name w:val="页脚 Char"/>
    <w:basedOn w:val="a0"/>
    <w:link w:val="a3"/>
    <w:rsid w:val="006078B3"/>
    <w:rPr>
      <w:rFonts w:ascii="Times New Roman" w:eastAsia="宋体" w:hAnsi="Times New Roman" w:cs="Times New Roman"/>
      <w:sz w:val="18"/>
      <w:szCs w:val="18"/>
    </w:rPr>
  </w:style>
  <w:style w:type="character" w:styleId="a4">
    <w:name w:val="page number"/>
    <w:basedOn w:val="a0"/>
    <w:rsid w:val="006078B3"/>
  </w:style>
  <w:style w:type="paragraph" w:styleId="a5">
    <w:name w:val="header"/>
    <w:basedOn w:val="a"/>
    <w:link w:val="Char0"/>
    <w:rsid w:val="006078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078B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2017-11-14T00:04:00Z</dcterms:created>
  <dcterms:modified xsi:type="dcterms:W3CDTF">2017-11-14T00:04:00Z</dcterms:modified>
</cp:coreProperties>
</file>